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B54993" w14:paraId="2B967EC4" w14:textId="77777777" w:rsidTr="00DA779A">
        <w:trPr>
          <w:trHeight w:val="1258"/>
        </w:trPr>
        <w:tc>
          <w:tcPr>
            <w:tcW w:w="1488" w:type="dxa"/>
          </w:tcPr>
          <w:p w14:paraId="02777C85" w14:textId="77777777" w:rsidR="00B54993" w:rsidRDefault="00B54993" w:rsidP="00DA77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32"/>
              </w:rPr>
              <w:br w:type="page"/>
            </w: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21D7A356" wp14:editId="68A1CD9A">
                  <wp:extent cx="877570" cy="1024255"/>
                  <wp:effectExtent l="0" t="0" r="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3CF0A70D" w14:textId="77777777" w:rsidR="00B54993" w:rsidRPr="00DC3B7E" w:rsidRDefault="00B54993" w:rsidP="00DA779A">
            <w:pPr>
              <w:pStyle w:val="Nadpis7"/>
              <w:spacing w:before="0"/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</w:p>
          <w:p w14:paraId="7745620E" w14:textId="77777777" w:rsidR="00B54993" w:rsidRDefault="00B54993" w:rsidP="00DA779A">
            <w:pPr>
              <w:spacing w:after="0"/>
              <w:jc w:val="center"/>
              <w:rPr>
                <w:rFonts w:ascii="Arial" w:hAnsi="Arial" w:cs="Arial"/>
                <w:b/>
                <w:spacing w:val="60"/>
                <w:sz w:val="44"/>
                <w:szCs w:val="44"/>
              </w:rPr>
            </w:pPr>
            <w:r w:rsidRPr="00DC3B7E">
              <w:rPr>
                <w:rFonts w:ascii="Arial" w:hAnsi="Arial" w:cs="Arial"/>
                <w:b/>
                <w:spacing w:val="60"/>
                <w:sz w:val="44"/>
                <w:szCs w:val="44"/>
              </w:rPr>
              <w:t>Finanční analytický úřad</w:t>
            </w:r>
          </w:p>
          <w:p w14:paraId="3BCFBD1B" w14:textId="77777777" w:rsidR="00B54993" w:rsidRPr="00575E43" w:rsidRDefault="00B54993" w:rsidP="00DA779A">
            <w:pPr>
              <w:spacing w:after="0"/>
              <w:jc w:val="center"/>
              <w:rPr>
                <w:rFonts w:ascii="Arial" w:hAnsi="Arial" w:cs="Arial"/>
                <w:b/>
                <w:spacing w:val="60"/>
                <w:sz w:val="44"/>
                <w:szCs w:val="44"/>
              </w:rPr>
            </w:pPr>
            <w:r w:rsidRPr="00575E43">
              <w:rPr>
                <w:rFonts w:ascii="Arial" w:hAnsi="Arial" w:cs="Arial"/>
                <w:b/>
                <w:spacing w:val="60"/>
                <w:sz w:val="32"/>
                <w:szCs w:val="44"/>
              </w:rPr>
              <w:t>Odbor právní</w:t>
            </w:r>
          </w:p>
        </w:tc>
      </w:tr>
      <w:tr w:rsidR="00B54993" w:rsidRPr="00611021" w14:paraId="04313400" w14:textId="77777777" w:rsidTr="00DA779A">
        <w:tc>
          <w:tcPr>
            <w:tcW w:w="9426" w:type="dxa"/>
            <w:gridSpan w:val="2"/>
          </w:tcPr>
          <w:p w14:paraId="4789E365" w14:textId="77777777" w:rsidR="00B54993" w:rsidRPr="00611021" w:rsidRDefault="00B54993" w:rsidP="00DA779A">
            <w:pPr>
              <w:pStyle w:val="Nadpis1"/>
              <w:pBdr>
                <w:bottom w:val="single" w:sz="6" w:space="1" w:color="auto"/>
              </w:pBdr>
              <w:spacing w:before="0" w:line="240" w:lineRule="auto"/>
              <w:rPr>
                <w:b/>
                <w:bCs/>
                <w:spacing w:val="60"/>
                <w:sz w:val="2"/>
              </w:rPr>
            </w:pPr>
          </w:p>
          <w:p w14:paraId="0FE56A64" w14:textId="77777777" w:rsidR="00B54993" w:rsidRPr="00575E43" w:rsidRDefault="00B54993" w:rsidP="00DA779A">
            <w:pPr>
              <w:pStyle w:val="Nadpis1"/>
              <w:spacing w:before="0" w:line="240" w:lineRule="auto"/>
              <w:rPr>
                <w:rFonts w:ascii="Arial" w:hAnsi="Arial"/>
                <w:b/>
                <w:color w:val="auto"/>
                <w:spacing w:val="32"/>
                <w:sz w:val="18"/>
                <w:szCs w:val="18"/>
              </w:rPr>
            </w:pP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sym w:font="Wingdings" w:char="F02A"/>
            </w: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 xml:space="preserve">: pošt. </w:t>
            </w:r>
            <w:proofErr w:type="gramStart"/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>přihrádka</w:t>
            </w:r>
            <w:proofErr w:type="gramEnd"/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 xml:space="preserve"> 675, Jindřišská 14, 111 21  Praha 1, dat. schránka: egi8zyh</w:t>
            </w:r>
          </w:p>
          <w:p w14:paraId="6F2F49DA" w14:textId="77777777" w:rsidR="00B54993" w:rsidRPr="00611021" w:rsidRDefault="00B54993" w:rsidP="00DA779A">
            <w:pPr>
              <w:pStyle w:val="Nadpis1"/>
              <w:spacing w:before="0" w:line="240" w:lineRule="auto"/>
              <w:rPr>
                <w:b/>
                <w:spacing w:val="60"/>
                <w:sz w:val="20"/>
              </w:rPr>
            </w:pP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sym w:font="Wingdings" w:char="F028"/>
            </w:r>
            <w:r w:rsidRPr="00575E43">
              <w:rPr>
                <w:rFonts w:ascii="Arial" w:hAnsi="Arial"/>
                <w:color w:val="auto"/>
                <w:spacing w:val="32"/>
                <w:sz w:val="18"/>
                <w:szCs w:val="18"/>
              </w:rPr>
              <w:t>: +420 257 044 501; fax: +420 257 044 502</w:t>
            </w:r>
          </w:p>
        </w:tc>
      </w:tr>
    </w:tbl>
    <w:p w14:paraId="6EA48497" w14:textId="1E0CEEDA" w:rsidR="00B54993" w:rsidRDefault="00B54993" w:rsidP="00B54993">
      <w:pPr>
        <w:pStyle w:val="Vnitnadresa"/>
      </w:pPr>
    </w:p>
    <w:p w14:paraId="7133E4C7" w14:textId="77777777" w:rsidR="00501FEA" w:rsidRPr="006B1909" w:rsidRDefault="00501FEA" w:rsidP="00B54993">
      <w:pPr>
        <w:pStyle w:val="Vnitnadresa"/>
      </w:pPr>
    </w:p>
    <w:p w14:paraId="387F9595" w14:textId="6DCCBC0F" w:rsidR="00B54993" w:rsidRDefault="00B54993" w:rsidP="00B54993">
      <w:pPr>
        <w:spacing w:after="0"/>
        <w:jc w:val="right"/>
        <w:rPr>
          <w:rFonts w:ascii="Arial" w:hAnsi="Arial" w:cs="Arial"/>
        </w:rPr>
      </w:pPr>
      <w:r w:rsidRPr="004A2EA3">
        <w:rPr>
          <w:rFonts w:ascii="Arial" w:hAnsi="Arial" w:cs="Arial"/>
        </w:rPr>
        <w:t xml:space="preserve"> </w:t>
      </w:r>
      <w:r w:rsidR="000E4143">
        <w:rPr>
          <w:rFonts w:ascii="Arial" w:hAnsi="Arial" w:cs="Arial"/>
        </w:rPr>
        <w:t xml:space="preserve">V Praze dne </w:t>
      </w:r>
      <w:r w:rsidR="003F70AE">
        <w:rPr>
          <w:rFonts w:ascii="Arial" w:hAnsi="Arial" w:cs="Arial"/>
        </w:rPr>
        <w:t>3</w:t>
      </w:r>
      <w:bookmarkStart w:id="0" w:name="_GoBack"/>
      <w:bookmarkEnd w:id="0"/>
      <w:r w:rsidR="008C3A7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921D43">
        <w:rPr>
          <w:rFonts w:ascii="Arial" w:hAnsi="Arial" w:cs="Arial"/>
        </w:rPr>
        <w:t>srpna</w:t>
      </w:r>
      <w:r>
        <w:rPr>
          <w:rFonts w:ascii="Arial" w:hAnsi="Arial" w:cs="Arial"/>
        </w:rPr>
        <w:t xml:space="preserve"> 2023</w:t>
      </w:r>
    </w:p>
    <w:p w14:paraId="68304DA0" w14:textId="3FA49335" w:rsidR="00B54993" w:rsidRDefault="00B54993" w:rsidP="00500A84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Č. j. </w:t>
      </w:r>
      <w:r w:rsidR="00500A84" w:rsidRPr="00500A84">
        <w:rPr>
          <w:rFonts w:ascii="Arial" w:hAnsi="Arial" w:cs="Arial"/>
        </w:rPr>
        <w:t>FAU-118942/2023/03</w:t>
      </w:r>
    </w:p>
    <w:p w14:paraId="5BD48CEE" w14:textId="77777777" w:rsidR="00B54993" w:rsidRDefault="00B54993" w:rsidP="00CB5AA7">
      <w:pPr>
        <w:spacing w:after="0"/>
        <w:ind w:firstLine="567"/>
        <w:jc w:val="both"/>
        <w:rPr>
          <w:rFonts w:ascii="Arial" w:hAnsi="Arial" w:cs="Arial"/>
          <w:b/>
        </w:rPr>
      </w:pPr>
    </w:p>
    <w:p w14:paraId="65D82EB6" w14:textId="77777777" w:rsidR="00501FEA" w:rsidRDefault="00501FEA" w:rsidP="00921D4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69F2AC" w14:textId="77777777" w:rsidR="00970E40" w:rsidRDefault="00970E40" w:rsidP="007725A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8D8D9B" w14:textId="35C785EF" w:rsidR="00140CDA" w:rsidRPr="00140CDA" w:rsidRDefault="00B54993" w:rsidP="007725A8">
      <w:pPr>
        <w:spacing w:after="0" w:line="240" w:lineRule="auto"/>
        <w:jc w:val="center"/>
        <w:rPr>
          <w:rFonts w:ascii="Arial" w:hAnsi="Arial" w:cs="Arial"/>
          <w:b/>
        </w:rPr>
      </w:pPr>
      <w:r w:rsidRPr="004A2EA3">
        <w:rPr>
          <w:rFonts w:ascii="Arial" w:hAnsi="Arial" w:cs="Arial"/>
          <w:b/>
          <w:bCs/>
        </w:rPr>
        <w:t>Stanovisko k výkladu některých ustanovení zákona č. 253/2008 Sb.</w:t>
      </w:r>
      <w:r>
        <w:rPr>
          <w:rFonts w:ascii="Arial" w:hAnsi="Arial" w:cs="Arial"/>
          <w:b/>
          <w:bCs/>
        </w:rPr>
        <w:t xml:space="preserve"> v souvislosti s otázkou</w:t>
      </w:r>
      <w:r w:rsidR="00CB5AA7" w:rsidRPr="00140CDA">
        <w:rPr>
          <w:rFonts w:ascii="Arial" w:hAnsi="Arial" w:cs="Arial"/>
          <w:b/>
        </w:rPr>
        <w:t xml:space="preserve"> „</w:t>
      </w:r>
      <w:r w:rsidR="00CB5AA7" w:rsidRPr="00140CDA">
        <w:rPr>
          <w:rFonts w:ascii="Arial" w:hAnsi="Arial" w:cs="Arial"/>
          <w:b/>
          <w:i/>
        </w:rPr>
        <w:t>Jak přistupovat k</w:t>
      </w:r>
      <w:r w:rsidR="00921D43">
        <w:rPr>
          <w:rFonts w:ascii="Arial" w:hAnsi="Arial" w:cs="Arial"/>
          <w:b/>
          <w:i/>
        </w:rPr>
        <w:t> členským státům EU, které jsou zařazené na FATF</w:t>
      </w:r>
      <w:r w:rsidR="00921D43" w:rsidRPr="00140CDA">
        <w:rPr>
          <w:rFonts w:ascii="Arial" w:hAnsi="Arial" w:cs="Arial"/>
          <w:b/>
          <w:i/>
        </w:rPr>
        <w:t xml:space="preserve"> </w:t>
      </w:r>
      <w:r w:rsidR="00921D43">
        <w:rPr>
          <w:rFonts w:ascii="Arial" w:hAnsi="Arial" w:cs="Arial"/>
          <w:b/>
          <w:i/>
        </w:rPr>
        <w:t>seznam</w:t>
      </w:r>
      <w:r w:rsidR="00954E2B">
        <w:rPr>
          <w:rFonts w:ascii="Arial" w:hAnsi="Arial" w:cs="Arial"/>
          <w:b/>
          <w:i/>
        </w:rPr>
        <w:t>y</w:t>
      </w:r>
      <w:r w:rsidR="00CB5AA7" w:rsidRPr="00140CDA">
        <w:rPr>
          <w:rFonts w:ascii="Arial" w:hAnsi="Arial" w:cs="Arial"/>
          <w:b/>
          <w:i/>
        </w:rPr>
        <w:t>?“</w:t>
      </w:r>
    </w:p>
    <w:p w14:paraId="4D7E4368" w14:textId="758F89F2" w:rsidR="00236A10" w:rsidRDefault="00236A10" w:rsidP="00236A10">
      <w:pPr>
        <w:spacing w:after="0"/>
        <w:jc w:val="both"/>
        <w:rPr>
          <w:rFonts w:ascii="Arial" w:hAnsi="Arial" w:cs="Arial"/>
        </w:rPr>
      </w:pPr>
    </w:p>
    <w:p w14:paraId="1EAC0479" w14:textId="48345DAA" w:rsidR="00970E40" w:rsidRDefault="00970E40" w:rsidP="00236A10">
      <w:pPr>
        <w:spacing w:after="0"/>
        <w:jc w:val="both"/>
        <w:rPr>
          <w:rFonts w:ascii="Arial" w:hAnsi="Arial" w:cs="Arial"/>
        </w:rPr>
      </w:pPr>
    </w:p>
    <w:p w14:paraId="1BFA1615" w14:textId="77777777" w:rsidR="00970E40" w:rsidRDefault="00970E40" w:rsidP="00236A10">
      <w:pPr>
        <w:spacing w:after="0"/>
        <w:jc w:val="both"/>
        <w:rPr>
          <w:rFonts w:ascii="Arial" w:hAnsi="Arial" w:cs="Arial"/>
        </w:rPr>
      </w:pPr>
    </w:p>
    <w:p w14:paraId="5A57BB7D" w14:textId="77777777" w:rsidR="00501FEA" w:rsidRDefault="00501FEA" w:rsidP="00236A10">
      <w:pPr>
        <w:spacing w:after="0"/>
        <w:jc w:val="both"/>
        <w:rPr>
          <w:rFonts w:ascii="Arial" w:hAnsi="Arial" w:cs="Arial"/>
        </w:rPr>
      </w:pPr>
    </w:p>
    <w:p w14:paraId="71144D36" w14:textId="67E6EB16" w:rsidR="00501FEA" w:rsidRDefault="00501FEA" w:rsidP="00236A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reakci na zařazení členského státu Evropské unie na FATF seznam jurisdikcí, které vyžadují zesílené sledování</w:t>
      </w:r>
      <w:r w:rsidR="002509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09A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 tím </w:t>
      </w:r>
      <w:r w:rsidR="002509A4">
        <w:rPr>
          <w:rFonts w:ascii="Arial" w:hAnsi="Arial" w:cs="Arial"/>
        </w:rPr>
        <w:t xml:space="preserve">související zprávu FATF vydanou dne 23. června 2023, </w:t>
      </w:r>
      <w:r>
        <w:rPr>
          <w:rFonts w:ascii="Arial" w:hAnsi="Arial" w:cs="Arial"/>
        </w:rPr>
        <w:t xml:space="preserve"> </w:t>
      </w:r>
      <w:r w:rsidR="002509A4">
        <w:rPr>
          <w:rFonts w:ascii="Arial" w:hAnsi="Arial" w:cs="Arial"/>
        </w:rPr>
        <w:t xml:space="preserve">přistoupil </w:t>
      </w:r>
      <w:r>
        <w:rPr>
          <w:rFonts w:ascii="Arial" w:hAnsi="Arial" w:cs="Arial"/>
        </w:rPr>
        <w:t>FAÚ k vydání tohoto obecného stanoviska</w:t>
      </w:r>
      <w:r w:rsidR="002509A4">
        <w:rPr>
          <w:rFonts w:ascii="Arial" w:hAnsi="Arial" w:cs="Arial"/>
        </w:rPr>
        <w:t>, které má zejména povinným osobám poskytnout lepší orientaci k výkladu pojmu vysoce riziková třetí země a s ní spojeným AML opatřením.</w:t>
      </w:r>
    </w:p>
    <w:p w14:paraId="7FECCD49" w14:textId="1288B38E" w:rsidR="00236A10" w:rsidRDefault="00236A10" w:rsidP="00236A10">
      <w:pPr>
        <w:spacing w:after="0"/>
        <w:jc w:val="both"/>
        <w:rPr>
          <w:rFonts w:ascii="Arial" w:hAnsi="Arial" w:cs="Arial"/>
        </w:rPr>
      </w:pPr>
    </w:p>
    <w:p w14:paraId="215D1313" w14:textId="77777777" w:rsidR="003B2B9A" w:rsidRDefault="003B2B9A" w:rsidP="00236A10">
      <w:pPr>
        <w:spacing w:after="0"/>
        <w:jc w:val="both"/>
        <w:rPr>
          <w:rFonts w:ascii="Arial" w:hAnsi="Arial" w:cs="Arial"/>
        </w:rPr>
      </w:pPr>
    </w:p>
    <w:p w14:paraId="2B502FB3" w14:textId="3184ECE3" w:rsidR="008C2A7A" w:rsidRPr="00180D1B" w:rsidRDefault="00537262" w:rsidP="00C51940">
      <w:pPr>
        <w:pStyle w:val="Odstavecseseznamem"/>
        <w:numPr>
          <w:ilvl w:val="0"/>
          <w:numId w:val="10"/>
        </w:numPr>
        <w:spacing w:after="0"/>
        <w:ind w:left="851" w:hanging="284"/>
        <w:jc w:val="both"/>
        <w:rPr>
          <w:rFonts w:ascii="Arial" w:hAnsi="Arial" w:cs="Arial"/>
          <w:b/>
          <w:u w:val="single"/>
        </w:rPr>
      </w:pPr>
      <w:r w:rsidRPr="00180D1B">
        <w:rPr>
          <w:rFonts w:ascii="Arial" w:hAnsi="Arial" w:cs="Arial"/>
          <w:b/>
          <w:u w:val="single"/>
        </w:rPr>
        <w:t>FATF seznam</w:t>
      </w:r>
    </w:p>
    <w:p w14:paraId="390CD344" w14:textId="77777777" w:rsidR="00537262" w:rsidRPr="008C2A7A" w:rsidRDefault="00537262" w:rsidP="00236A10">
      <w:pPr>
        <w:spacing w:after="0"/>
        <w:jc w:val="both"/>
        <w:rPr>
          <w:rFonts w:ascii="Arial" w:hAnsi="Arial" w:cs="Arial"/>
          <w:i/>
        </w:rPr>
      </w:pPr>
    </w:p>
    <w:p w14:paraId="08C3610D" w14:textId="6EBB3D06" w:rsidR="00AE0DA3" w:rsidRDefault="00921D43" w:rsidP="00236A10">
      <w:pPr>
        <w:spacing w:after="0"/>
        <w:jc w:val="both"/>
        <w:rPr>
          <w:rFonts w:ascii="Arial" w:hAnsi="Arial" w:cs="Arial"/>
        </w:rPr>
      </w:pPr>
      <w:r w:rsidRPr="008C2A7A">
        <w:rPr>
          <w:rFonts w:ascii="Arial" w:hAnsi="Arial" w:cs="Arial"/>
        </w:rPr>
        <w:t>D</w:t>
      </w:r>
      <w:r w:rsidR="00AE0DA3" w:rsidRPr="008C2A7A">
        <w:rPr>
          <w:rFonts w:ascii="Arial" w:hAnsi="Arial" w:cs="Arial"/>
        </w:rPr>
        <w:t xml:space="preserve">ne </w:t>
      </w:r>
      <w:r w:rsidR="007D62B8">
        <w:rPr>
          <w:rFonts w:ascii="Arial" w:hAnsi="Arial" w:cs="Arial"/>
        </w:rPr>
        <w:t>23</w:t>
      </w:r>
      <w:r w:rsidR="00AE0DA3" w:rsidRPr="008C2A7A">
        <w:rPr>
          <w:rFonts w:ascii="Arial" w:hAnsi="Arial" w:cs="Arial"/>
        </w:rPr>
        <w:t xml:space="preserve">. </w:t>
      </w:r>
      <w:r w:rsidR="007D62B8">
        <w:rPr>
          <w:rFonts w:ascii="Arial" w:hAnsi="Arial" w:cs="Arial"/>
        </w:rPr>
        <w:t>června 2023</w:t>
      </w:r>
      <w:r w:rsidR="00AE0DA3" w:rsidRPr="008C2A7A">
        <w:rPr>
          <w:rFonts w:ascii="Arial" w:hAnsi="Arial" w:cs="Arial"/>
        </w:rPr>
        <w:t xml:space="preserve"> </w:t>
      </w:r>
      <w:r w:rsidR="007D62B8">
        <w:rPr>
          <w:rFonts w:ascii="Arial" w:hAnsi="Arial" w:cs="Arial"/>
        </w:rPr>
        <w:t xml:space="preserve">došlo ze strany </w:t>
      </w:r>
      <w:r w:rsidR="007D62B8" w:rsidRPr="008C2A7A">
        <w:rPr>
          <w:rFonts w:ascii="Arial" w:hAnsi="Arial" w:cs="Arial"/>
        </w:rPr>
        <w:t xml:space="preserve">FATF </w:t>
      </w:r>
      <w:r w:rsidR="007D62B8">
        <w:rPr>
          <w:rFonts w:ascii="Arial" w:hAnsi="Arial" w:cs="Arial"/>
        </w:rPr>
        <w:t xml:space="preserve">k </w:t>
      </w:r>
      <w:r w:rsidR="007D62B8" w:rsidRPr="00A534D4">
        <w:rPr>
          <w:rFonts w:ascii="Arial" w:hAnsi="Arial" w:cs="Arial"/>
          <w:b/>
        </w:rPr>
        <w:t>zařazení</w:t>
      </w:r>
      <w:r w:rsidR="00AE0DA3" w:rsidRPr="00A534D4">
        <w:rPr>
          <w:rFonts w:ascii="Arial" w:hAnsi="Arial" w:cs="Arial"/>
          <w:b/>
        </w:rPr>
        <w:t xml:space="preserve"> </w:t>
      </w:r>
      <w:r w:rsidR="007D62B8" w:rsidRPr="00A534D4">
        <w:rPr>
          <w:rFonts w:ascii="Arial" w:hAnsi="Arial" w:cs="Arial"/>
          <w:b/>
        </w:rPr>
        <w:t>Chorvatska</w:t>
      </w:r>
      <w:r w:rsidR="00AE0DA3" w:rsidRPr="008C2A7A">
        <w:rPr>
          <w:rFonts w:ascii="Arial" w:hAnsi="Arial" w:cs="Arial"/>
        </w:rPr>
        <w:t xml:space="preserve">, které je členským státem Evropské unie, </w:t>
      </w:r>
      <w:r w:rsidR="00AE0DA3" w:rsidRPr="00A534D4">
        <w:rPr>
          <w:rFonts w:ascii="Arial" w:hAnsi="Arial" w:cs="Arial"/>
          <w:b/>
        </w:rPr>
        <w:t>na tzv. „</w:t>
      </w:r>
      <w:r w:rsidR="008C2A7A" w:rsidRPr="00A534D4">
        <w:rPr>
          <w:rFonts w:ascii="Arial" w:hAnsi="Arial" w:cs="Arial"/>
          <w:b/>
        </w:rPr>
        <w:t>šedý seznam</w:t>
      </w:r>
      <w:r w:rsidR="006E7696">
        <w:rPr>
          <w:rFonts w:ascii="Arial" w:hAnsi="Arial" w:cs="Arial"/>
          <w:b/>
        </w:rPr>
        <w:t xml:space="preserve"> FATF</w:t>
      </w:r>
      <w:r w:rsidR="00AE0DA3" w:rsidRPr="00A534D4">
        <w:rPr>
          <w:rFonts w:ascii="Arial" w:hAnsi="Arial" w:cs="Arial"/>
          <w:b/>
        </w:rPr>
        <w:t>“</w:t>
      </w:r>
      <w:r w:rsidR="00A534D4">
        <w:rPr>
          <w:rStyle w:val="Znakapoznpodarou"/>
          <w:rFonts w:ascii="Arial" w:hAnsi="Arial" w:cs="Arial"/>
        </w:rPr>
        <w:footnoteReference w:id="1"/>
      </w:r>
      <w:r w:rsidR="00B77FDB">
        <w:rPr>
          <w:rFonts w:ascii="Arial" w:hAnsi="Arial" w:cs="Arial"/>
          <w:b/>
        </w:rPr>
        <w:t xml:space="preserve"> </w:t>
      </w:r>
      <w:r w:rsidR="00B77FDB">
        <w:rPr>
          <w:rFonts w:ascii="Arial" w:eastAsia="Times New Roman" w:hAnsi="Arial" w:cs="Arial"/>
          <w:i/>
        </w:rPr>
        <w:t>(</w:t>
      </w:r>
      <w:proofErr w:type="spellStart"/>
      <w:r w:rsidR="00B77FDB">
        <w:rPr>
          <w:rFonts w:ascii="Arial" w:eastAsia="Times New Roman" w:hAnsi="Arial" w:cs="Arial"/>
          <w:i/>
        </w:rPr>
        <w:t>Jurisdictions</w:t>
      </w:r>
      <w:proofErr w:type="spellEnd"/>
      <w:r w:rsidR="00B77FDB">
        <w:rPr>
          <w:rFonts w:ascii="Arial" w:eastAsia="Times New Roman" w:hAnsi="Arial" w:cs="Arial"/>
          <w:i/>
        </w:rPr>
        <w:t xml:space="preserve"> </w:t>
      </w:r>
      <w:proofErr w:type="spellStart"/>
      <w:r w:rsidR="00495FB7">
        <w:rPr>
          <w:rFonts w:ascii="Arial" w:eastAsia="Times New Roman" w:hAnsi="Arial" w:cs="Arial"/>
          <w:i/>
        </w:rPr>
        <w:t>u</w:t>
      </w:r>
      <w:r w:rsidR="00B77FDB">
        <w:rPr>
          <w:rFonts w:ascii="Arial" w:eastAsia="Times New Roman" w:hAnsi="Arial" w:cs="Arial"/>
          <w:i/>
        </w:rPr>
        <w:t>n</w:t>
      </w:r>
      <w:r w:rsidR="00495FB7">
        <w:rPr>
          <w:rFonts w:ascii="Arial" w:eastAsia="Times New Roman" w:hAnsi="Arial" w:cs="Arial"/>
          <w:i/>
        </w:rPr>
        <w:t>d</w:t>
      </w:r>
      <w:r w:rsidR="00B77FDB">
        <w:rPr>
          <w:rFonts w:ascii="Arial" w:eastAsia="Times New Roman" w:hAnsi="Arial" w:cs="Arial"/>
          <w:i/>
        </w:rPr>
        <w:t>er</w:t>
      </w:r>
      <w:proofErr w:type="spellEnd"/>
      <w:r w:rsidR="00B77FDB">
        <w:rPr>
          <w:rFonts w:ascii="Arial" w:eastAsia="Times New Roman" w:hAnsi="Arial" w:cs="Arial"/>
          <w:i/>
        </w:rPr>
        <w:t xml:space="preserve"> </w:t>
      </w:r>
      <w:proofErr w:type="spellStart"/>
      <w:r w:rsidR="00B77FDB">
        <w:rPr>
          <w:rFonts w:ascii="Arial" w:eastAsia="Times New Roman" w:hAnsi="Arial" w:cs="Arial"/>
          <w:i/>
        </w:rPr>
        <w:t>Increased</w:t>
      </w:r>
      <w:proofErr w:type="spellEnd"/>
      <w:r w:rsidR="00B77FDB">
        <w:rPr>
          <w:rFonts w:ascii="Arial" w:eastAsia="Times New Roman" w:hAnsi="Arial" w:cs="Arial"/>
          <w:i/>
        </w:rPr>
        <w:t xml:space="preserve"> Monitoring)</w:t>
      </w:r>
      <w:r w:rsidR="00AE0DA3" w:rsidRPr="008C2A7A">
        <w:rPr>
          <w:rFonts w:ascii="Arial" w:hAnsi="Arial" w:cs="Arial"/>
        </w:rPr>
        <w:t xml:space="preserve">. Na šedém seznamu jsou jurisdikce, které </w:t>
      </w:r>
      <w:r w:rsidR="00AE0DA3" w:rsidRPr="007A0434">
        <w:rPr>
          <w:rFonts w:ascii="Arial" w:hAnsi="Arial" w:cs="Arial"/>
          <w:b/>
        </w:rPr>
        <w:t>podléhají z</w:t>
      </w:r>
      <w:r w:rsidR="007A0434">
        <w:rPr>
          <w:rFonts w:ascii="Arial" w:hAnsi="Arial" w:cs="Arial"/>
          <w:b/>
        </w:rPr>
        <w:t>přísněnému</w:t>
      </w:r>
      <w:r w:rsidR="00AE0DA3" w:rsidRPr="007A0434">
        <w:rPr>
          <w:rFonts w:ascii="Arial" w:hAnsi="Arial" w:cs="Arial"/>
          <w:b/>
        </w:rPr>
        <w:t xml:space="preserve"> dohledu FATF</w:t>
      </w:r>
      <w:r w:rsidR="00AE0DA3" w:rsidRPr="008C2A7A">
        <w:rPr>
          <w:rFonts w:ascii="Arial" w:hAnsi="Arial" w:cs="Arial"/>
        </w:rPr>
        <w:t>, jelikož u nich byly zjištěny strategické nedostatky</w:t>
      </w:r>
      <w:r w:rsidR="004C3373" w:rsidRPr="004C3373">
        <w:rPr>
          <w:rFonts w:ascii="Arial" w:hAnsi="Arial" w:cs="Arial"/>
        </w:rPr>
        <w:t xml:space="preserve"> </w:t>
      </w:r>
      <w:r w:rsidR="004C3373">
        <w:rPr>
          <w:rFonts w:ascii="Arial" w:hAnsi="Arial" w:cs="Arial"/>
        </w:rPr>
        <w:t xml:space="preserve">v jejich systémech pro boj proti praní </w:t>
      </w:r>
      <w:r w:rsidR="007D62B8">
        <w:rPr>
          <w:rFonts w:ascii="Arial" w:hAnsi="Arial" w:cs="Arial"/>
        </w:rPr>
        <w:t xml:space="preserve">špinavých </w:t>
      </w:r>
      <w:r w:rsidR="004C3373">
        <w:rPr>
          <w:rFonts w:ascii="Arial" w:hAnsi="Arial" w:cs="Arial"/>
        </w:rPr>
        <w:t>peněz, financování terorismu a financování šíření zbraní hromadného nič</w:t>
      </w:r>
      <w:r w:rsidR="006E7696">
        <w:rPr>
          <w:rFonts w:ascii="Arial" w:hAnsi="Arial" w:cs="Arial"/>
        </w:rPr>
        <w:t>en</w:t>
      </w:r>
      <w:r w:rsidR="004C3373">
        <w:rPr>
          <w:rFonts w:ascii="Arial" w:hAnsi="Arial" w:cs="Arial"/>
        </w:rPr>
        <w:t xml:space="preserve">í (dále jen </w:t>
      </w:r>
      <w:r w:rsidR="004C3373" w:rsidRPr="00BE0894">
        <w:rPr>
          <w:rFonts w:ascii="Arial" w:hAnsi="Arial" w:cs="Arial"/>
          <w:i/>
        </w:rPr>
        <w:t>„AML/CFT nedostatky“</w:t>
      </w:r>
      <w:r w:rsidR="004C3373">
        <w:rPr>
          <w:rFonts w:ascii="Arial" w:hAnsi="Arial" w:cs="Arial"/>
        </w:rPr>
        <w:t>)</w:t>
      </w:r>
      <w:r w:rsidR="00AE0DA3" w:rsidRPr="008C2A7A">
        <w:rPr>
          <w:rFonts w:ascii="Arial" w:hAnsi="Arial" w:cs="Arial"/>
        </w:rPr>
        <w:t xml:space="preserve">. </w:t>
      </w:r>
      <w:r w:rsidR="00AE0DA3" w:rsidRPr="008C2A7A">
        <w:rPr>
          <w:rFonts w:ascii="Arial" w:hAnsi="Arial" w:cs="Arial"/>
          <w:b/>
        </w:rPr>
        <w:t xml:space="preserve">Tyto </w:t>
      </w:r>
      <w:r w:rsidR="00CB5AA7" w:rsidRPr="008C2A7A">
        <w:rPr>
          <w:rFonts w:ascii="Arial" w:hAnsi="Arial" w:cs="Arial"/>
          <w:b/>
        </w:rPr>
        <w:t>stát</w:t>
      </w:r>
      <w:r w:rsidR="00AE0DA3" w:rsidRPr="008C2A7A">
        <w:rPr>
          <w:rFonts w:ascii="Arial" w:hAnsi="Arial" w:cs="Arial"/>
          <w:b/>
        </w:rPr>
        <w:t xml:space="preserve">y musí detekované nedostatky odstranit a vyřešit  v dohodnutém časovém rámci a po tuto dobu podléhají zvýšenému monitorování. </w:t>
      </w:r>
      <w:r w:rsidR="008C2A7A" w:rsidRPr="00537262">
        <w:rPr>
          <w:rFonts w:ascii="Arial" w:hAnsi="Arial" w:cs="Arial"/>
        </w:rPr>
        <w:t>V této souvislosti FATF ve své zprávě</w:t>
      </w:r>
      <w:r w:rsidR="008C2A7A" w:rsidRPr="00537262">
        <w:rPr>
          <w:rStyle w:val="Znakapoznpodarou"/>
          <w:rFonts w:ascii="Arial" w:hAnsi="Arial" w:cs="Arial"/>
        </w:rPr>
        <w:footnoteReference w:id="2"/>
      </w:r>
      <w:r w:rsidR="008C2A7A" w:rsidRPr="00537262">
        <w:rPr>
          <w:rFonts w:ascii="Arial" w:hAnsi="Arial" w:cs="Arial"/>
        </w:rPr>
        <w:t xml:space="preserve"> </w:t>
      </w:r>
      <w:r w:rsidR="00537262" w:rsidRPr="00537262">
        <w:rPr>
          <w:rFonts w:ascii="Arial" w:hAnsi="Arial" w:cs="Arial"/>
        </w:rPr>
        <w:t xml:space="preserve">ze dne 23. června 2023 </w:t>
      </w:r>
      <w:r w:rsidR="008C2A7A" w:rsidRPr="00537262">
        <w:rPr>
          <w:rFonts w:ascii="Arial" w:hAnsi="Arial" w:cs="Arial"/>
        </w:rPr>
        <w:t>mimo jiné uvádí, že nepožaduje</w:t>
      </w:r>
      <w:r w:rsidR="008C2A7A" w:rsidRPr="008C2A7A">
        <w:rPr>
          <w:rFonts w:ascii="Arial" w:hAnsi="Arial" w:cs="Arial"/>
        </w:rPr>
        <w:t>, aby se na tyto jurisdikce uplatňovala zesílená identifikace a kontrola klienta, přičemž ani mezinárodní standardy FATF nepředpokládají aplikaci de-</w:t>
      </w:r>
      <w:proofErr w:type="spellStart"/>
      <w:r w:rsidR="008C2A7A" w:rsidRPr="008C2A7A">
        <w:rPr>
          <w:rFonts w:ascii="Arial" w:hAnsi="Arial" w:cs="Arial"/>
        </w:rPr>
        <w:t>riskingu</w:t>
      </w:r>
      <w:proofErr w:type="spellEnd"/>
      <w:r w:rsidR="008C2A7A" w:rsidRPr="008C2A7A">
        <w:rPr>
          <w:rFonts w:ascii="Arial" w:hAnsi="Arial" w:cs="Arial"/>
        </w:rPr>
        <w:t xml:space="preserve"> nebo o</w:t>
      </w:r>
      <w:r w:rsidR="00537262">
        <w:rPr>
          <w:rFonts w:ascii="Arial" w:hAnsi="Arial" w:cs="Arial"/>
        </w:rPr>
        <w:t>mezení poskytování služeb a produktů</w:t>
      </w:r>
      <w:r w:rsidR="008C2A7A" w:rsidRPr="008C2A7A">
        <w:rPr>
          <w:rFonts w:ascii="Arial" w:hAnsi="Arial" w:cs="Arial"/>
        </w:rPr>
        <w:t xml:space="preserve"> celý</w:t>
      </w:r>
      <w:r w:rsidR="00537262">
        <w:rPr>
          <w:rFonts w:ascii="Arial" w:hAnsi="Arial" w:cs="Arial"/>
        </w:rPr>
        <w:t xml:space="preserve">m </w:t>
      </w:r>
      <w:r w:rsidR="008C2A7A" w:rsidRPr="008C2A7A">
        <w:rPr>
          <w:rFonts w:ascii="Arial" w:hAnsi="Arial" w:cs="Arial"/>
        </w:rPr>
        <w:t>skupin</w:t>
      </w:r>
      <w:r w:rsidR="00537262">
        <w:rPr>
          <w:rFonts w:ascii="Arial" w:hAnsi="Arial" w:cs="Arial"/>
        </w:rPr>
        <w:t>ám</w:t>
      </w:r>
      <w:r w:rsidR="008C2A7A" w:rsidRPr="008C2A7A">
        <w:rPr>
          <w:rFonts w:ascii="Arial" w:hAnsi="Arial" w:cs="Arial"/>
        </w:rPr>
        <w:t xml:space="preserve"> klientů, ale vyžadují použití přístupu založeného na riziku</w:t>
      </w:r>
      <w:r w:rsidR="00537262">
        <w:rPr>
          <w:rFonts w:ascii="Arial" w:hAnsi="Arial" w:cs="Arial"/>
        </w:rPr>
        <w:t xml:space="preserve"> tzv. </w:t>
      </w:r>
      <w:r w:rsidR="00537262">
        <w:rPr>
          <w:rFonts w:ascii="Arial" w:hAnsi="Arial" w:cs="Arial"/>
          <w:i/>
        </w:rPr>
        <w:t>risk-</w:t>
      </w:r>
      <w:proofErr w:type="spellStart"/>
      <w:r w:rsidR="00537262" w:rsidRPr="00537262">
        <w:rPr>
          <w:rFonts w:ascii="Arial" w:hAnsi="Arial" w:cs="Arial"/>
          <w:i/>
        </w:rPr>
        <w:t>based</w:t>
      </w:r>
      <w:proofErr w:type="spellEnd"/>
      <w:r w:rsidR="00537262" w:rsidRPr="00537262">
        <w:rPr>
          <w:rFonts w:ascii="Arial" w:hAnsi="Arial" w:cs="Arial"/>
          <w:i/>
        </w:rPr>
        <w:t xml:space="preserve"> </w:t>
      </w:r>
      <w:proofErr w:type="spellStart"/>
      <w:r w:rsidR="00537262" w:rsidRPr="00537262">
        <w:rPr>
          <w:rFonts w:ascii="Arial" w:hAnsi="Arial" w:cs="Arial"/>
          <w:i/>
        </w:rPr>
        <w:t>approach</w:t>
      </w:r>
      <w:proofErr w:type="spellEnd"/>
      <w:r w:rsidR="00537262">
        <w:rPr>
          <w:rFonts w:ascii="Arial" w:hAnsi="Arial" w:cs="Arial"/>
        </w:rPr>
        <w:t>.</w:t>
      </w:r>
      <w:r w:rsidR="008C2A7A" w:rsidRPr="008C2A7A">
        <w:rPr>
          <w:rFonts w:ascii="Arial" w:hAnsi="Arial" w:cs="Arial"/>
        </w:rPr>
        <w:t xml:space="preserve"> </w:t>
      </w:r>
      <w:r w:rsidR="00537262">
        <w:rPr>
          <w:rFonts w:ascii="Arial" w:hAnsi="Arial" w:cs="Arial"/>
        </w:rPr>
        <w:t>Zpráva</w:t>
      </w:r>
      <w:r w:rsidR="008C2A7A" w:rsidRPr="008C2A7A">
        <w:rPr>
          <w:rFonts w:ascii="Arial" w:hAnsi="Arial" w:cs="Arial"/>
        </w:rPr>
        <w:t xml:space="preserve"> </w:t>
      </w:r>
      <w:r w:rsidR="00537262">
        <w:rPr>
          <w:rFonts w:ascii="Arial" w:hAnsi="Arial" w:cs="Arial"/>
        </w:rPr>
        <w:t>cílí na to</w:t>
      </w:r>
      <w:r w:rsidR="008C2A7A" w:rsidRPr="008C2A7A">
        <w:rPr>
          <w:rFonts w:ascii="Arial" w:hAnsi="Arial" w:cs="Arial"/>
        </w:rPr>
        <w:t xml:space="preserve">, aby </w:t>
      </w:r>
      <w:r w:rsidR="00537262">
        <w:rPr>
          <w:rFonts w:ascii="Arial" w:hAnsi="Arial" w:cs="Arial"/>
        </w:rPr>
        <w:t xml:space="preserve">dotčení adresáti </w:t>
      </w:r>
      <w:r w:rsidR="008C2A7A" w:rsidRPr="008C2A7A">
        <w:rPr>
          <w:rFonts w:ascii="Arial" w:hAnsi="Arial" w:cs="Arial"/>
        </w:rPr>
        <w:t>ve své analýze rizik vzali v úvahu informace</w:t>
      </w:r>
      <w:r w:rsidR="004F08E6">
        <w:rPr>
          <w:rFonts w:ascii="Arial" w:hAnsi="Arial" w:cs="Arial"/>
        </w:rPr>
        <w:t xml:space="preserve"> o zařazení dané země na seznam</w:t>
      </w:r>
      <w:r w:rsidR="008C2A7A" w:rsidRPr="008C2A7A">
        <w:rPr>
          <w:rFonts w:ascii="Arial" w:hAnsi="Arial" w:cs="Arial"/>
        </w:rPr>
        <w:t>.</w:t>
      </w:r>
    </w:p>
    <w:p w14:paraId="2087DE74" w14:textId="6D30BDD6" w:rsidR="00F55B1A" w:rsidRDefault="007A0434" w:rsidP="00236A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3EDCFF" w14:textId="467BB2D7" w:rsidR="00F55B1A" w:rsidRDefault="00F55B1A" w:rsidP="00236A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úplnost </w:t>
      </w:r>
      <w:r w:rsidR="003B2B9A">
        <w:rPr>
          <w:rFonts w:ascii="Arial" w:hAnsi="Arial" w:cs="Arial"/>
        </w:rPr>
        <w:t xml:space="preserve">na tomto místě </w:t>
      </w:r>
      <w:r>
        <w:rPr>
          <w:rFonts w:ascii="Arial" w:hAnsi="Arial" w:cs="Arial"/>
        </w:rPr>
        <w:t xml:space="preserve">uvádíme, že </w:t>
      </w:r>
      <w:r w:rsidR="007A0434">
        <w:rPr>
          <w:rFonts w:ascii="Arial" w:hAnsi="Arial" w:cs="Arial"/>
        </w:rPr>
        <w:t>vedle</w:t>
      </w:r>
      <w:r>
        <w:rPr>
          <w:rFonts w:ascii="Arial" w:hAnsi="Arial" w:cs="Arial"/>
        </w:rPr>
        <w:t xml:space="preserve"> šedého seznamu</w:t>
      </w:r>
      <w:r w:rsidR="00814884">
        <w:rPr>
          <w:rFonts w:ascii="Arial" w:hAnsi="Arial" w:cs="Arial"/>
        </w:rPr>
        <w:t xml:space="preserve"> </w:t>
      </w:r>
      <w:r w:rsidR="007A0434">
        <w:rPr>
          <w:rFonts w:ascii="Arial" w:hAnsi="Arial" w:cs="Arial"/>
        </w:rPr>
        <w:t xml:space="preserve">vede FATF </w:t>
      </w:r>
      <w:r w:rsidR="00814884">
        <w:rPr>
          <w:rFonts w:ascii="Arial" w:hAnsi="Arial" w:cs="Arial"/>
        </w:rPr>
        <w:t>tzv. „černý seznam“</w:t>
      </w:r>
      <w:r w:rsidR="00B77FDB">
        <w:rPr>
          <w:rFonts w:ascii="Arial" w:hAnsi="Arial" w:cs="Arial"/>
        </w:rPr>
        <w:t xml:space="preserve"> </w:t>
      </w:r>
      <w:r w:rsidR="00B77FDB">
        <w:rPr>
          <w:rFonts w:ascii="Arial" w:eastAsia="Times New Roman" w:hAnsi="Arial" w:cs="Arial"/>
          <w:i/>
        </w:rPr>
        <w:t>(</w:t>
      </w:r>
      <w:proofErr w:type="spellStart"/>
      <w:r w:rsidR="00B77FDB">
        <w:rPr>
          <w:rFonts w:ascii="Arial" w:eastAsia="Times New Roman" w:hAnsi="Arial" w:cs="Arial"/>
          <w:i/>
        </w:rPr>
        <w:t>High</w:t>
      </w:r>
      <w:proofErr w:type="spellEnd"/>
      <w:r w:rsidR="00B77FDB">
        <w:rPr>
          <w:rFonts w:ascii="Arial" w:eastAsia="Times New Roman" w:hAnsi="Arial" w:cs="Arial"/>
          <w:i/>
        </w:rPr>
        <w:t xml:space="preserve">-Risk </w:t>
      </w:r>
      <w:proofErr w:type="spellStart"/>
      <w:r w:rsidR="00B77FDB">
        <w:rPr>
          <w:rFonts w:ascii="Arial" w:eastAsia="Times New Roman" w:hAnsi="Arial" w:cs="Arial"/>
          <w:i/>
        </w:rPr>
        <w:t>Jurisdictions</w:t>
      </w:r>
      <w:proofErr w:type="spellEnd"/>
      <w:r w:rsidR="00B77FDB">
        <w:rPr>
          <w:rFonts w:ascii="Arial" w:eastAsia="Times New Roman" w:hAnsi="Arial" w:cs="Arial"/>
          <w:i/>
        </w:rPr>
        <w:t xml:space="preserve"> </w:t>
      </w:r>
      <w:proofErr w:type="spellStart"/>
      <w:r w:rsidR="00B77FDB">
        <w:rPr>
          <w:rFonts w:ascii="Arial" w:eastAsia="Times New Roman" w:hAnsi="Arial" w:cs="Arial"/>
          <w:i/>
        </w:rPr>
        <w:t>subject</w:t>
      </w:r>
      <w:proofErr w:type="spellEnd"/>
      <w:r w:rsidR="00B77FDB">
        <w:rPr>
          <w:rFonts w:ascii="Arial" w:eastAsia="Times New Roman" w:hAnsi="Arial" w:cs="Arial"/>
          <w:i/>
        </w:rPr>
        <w:t xml:space="preserve"> to a Call </w:t>
      </w:r>
      <w:proofErr w:type="spellStart"/>
      <w:r w:rsidR="00B77FDB">
        <w:rPr>
          <w:rFonts w:ascii="Arial" w:eastAsia="Times New Roman" w:hAnsi="Arial" w:cs="Arial"/>
          <w:i/>
        </w:rPr>
        <w:t>for</w:t>
      </w:r>
      <w:proofErr w:type="spellEnd"/>
      <w:r w:rsidR="00B77FDB">
        <w:rPr>
          <w:rFonts w:ascii="Arial" w:eastAsia="Times New Roman" w:hAnsi="Arial" w:cs="Arial"/>
          <w:i/>
        </w:rPr>
        <w:t xml:space="preserve"> </w:t>
      </w:r>
      <w:proofErr w:type="spellStart"/>
      <w:r w:rsidR="00B77FDB">
        <w:rPr>
          <w:rFonts w:ascii="Arial" w:eastAsia="Times New Roman" w:hAnsi="Arial" w:cs="Arial"/>
          <w:i/>
        </w:rPr>
        <w:t>Action</w:t>
      </w:r>
      <w:proofErr w:type="spellEnd"/>
      <w:r w:rsidR="00B77FDB">
        <w:rPr>
          <w:rFonts w:ascii="Arial" w:eastAsia="Times New Roman" w:hAnsi="Arial" w:cs="Arial"/>
          <w:i/>
        </w:rPr>
        <w:t>)</w:t>
      </w:r>
      <w:r w:rsidR="007A0434">
        <w:rPr>
          <w:rFonts w:ascii="Arial" w:hAnsi="Arial" w:cs="Arial"/>
        </w:rPr>
        <w:t xml:space="preserve">, kde se zesílená identifikace a </w:t>
      </w:r>
      <w:r w:rsidR="007A0434">
        <w:rPr>
          <w:rFonts w:ascii="Arial" w:hAnsi="Arial" w:cs="Arial"/>
        </w:rPr>
        <w:lastRenderedPageBreak/>
        <w:t>kontrola klienta uplatní vždy</w:t>
      </w:r>
      <w:r w:rsidR="006E7696">
        <w:rPr>
          <w:rFonts w:ascii="Arial" w:hAnsi="Arial" w:cs="Arial"/>
        </w:rPr>
        <w:t xml:space="preserve"> v plném rozsahu</w:t>
      </w:r>
      <w:r w:rsidR="007A0434">
        <w:rPr>
          <w:rFonts w:ascii="Arial" w:hAnsi="Arial" w:cs="Arial"/>
        </w:rPr>
        <w:t>.</w:t>
      </w:r>
      <w:r w:rsidR="006E7696">
        <w:rPr>
          <w:rFonts w:ascii="Arial" w:hAnsi="Arial" w:cs="Arial"/>
        </w:rPr>
        <w:t xml:space="preserve"> V nejzávažnějších případech FATF vyzývá státy, aby uplatňovaly vůči listovaným jurisdikcím protiopatření k ochraně mezinárodního finančního systému před riziky praní peněz, financování terorismu a financování šíření zbraní hromadného ničení.</w:t>
      </w:r>
    </w:p>
    <w:p w14:paraId="609CC3C2" w14:textId="790ED0A6" w:rsidR="00A534D4" w:rsidRDefault="00A534D4" w:rsidP="00236A10">
      <w:pPr>
        <w:spacing w:after="0"/>
        <w:jc w:val="both"/>
        <w:rPr>
          <w:rFonts w:ascii="Arial" w:hAnsi="Arial" w:cs="Arial"/>
        </w:rPr>
      </w:pPr>
    </w:p>
    <w:p w14:paraId="73B66685" w14:textId="420C5DDD" w:rsidR="003B2B9A" w:rsidRDefault="003B2B9A" w:rsidP="00A534D4">
      <w:pPr>
        <w:spacing w:after="0"/>
        <w:jc w:val="both"/>
        <w:rPr>
          <w:rFonts w:ascii="Arial" w:hAnsi="Arial" w:cs="Arial"/>
        </w:rPr>
      </w:pPr>
    </w:p>
    <w:p w14:paraId="6F79B0B6" w14:textId="77777777" w:rsidR="00970E40" w:rsidRPr="00BE132D" w:rsidRDefault="00970E40" w:rsidP="00A534D4">
      <w:pPr>
        <w:spacing w:after="0"/>
        <w:jc w:val="both"/>
        <w:rPr>
          <w:rFonts w:ascii="Arial" w:hAnsi="Arial" w:cs="Arial"/>
        </w:rPr>
      </w:pPr>
    </w:p>
    <w:p w14:paraId="167886A7" w14:textId="67BB763F" w:rsidR="00A534D4" w:rsidRPr="00180D1B" w:rsidRDefault="00BE0894" w:rsidP="00C51940">
      <w:pPr>
        <w:pStyle w:val="Odstavecseseznamem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b/>
          <w:u w:val="single"/>
        </w:rPr>
      </w:pPr>
      <w:r w:rsidRPr="00180D1B">
        <w:rPr>
          <w:rFonts w:ascii="Arial" w:hAnsi="Arial" w:cs="Arial"/>
          <w:b/>
          <w:u w:val="single"/>
        </w:rPr>
        <w:t>Definice vysoce rizikové</w:t>
      </w:r>
      <w:r w:rsidR="00A534D4" w:rsidRPr="00180D1B">
        <w:rPr>
          <w:rFonts w:ascii="Arial" w:hAnsi="Arial" w:cs="Arial"/>
          <w:b/>
          <w:u w:val="single"/>
        </w:rPr>
        <w:t xml:space="preserve"> třetí země</w:t>
      </w:r>
    </w:p>
    <w:p w14:paraId="2FECCAF8" w14:textId="77777777" w:rsidR="008C2A7A" w:rsidRDefault="008C2A7A" w:rsidP="00236A10">
      <w:pPr>
        <w:spacing w:after="0"/>
        <w:jc w:val="both"/>
        <w:rPr>
          <w:rFonts w:ascii="Arial" w:hAnsi="Arial" w:cs="Arial"/>
        </w:rPr>
      </w:pPr>
    </w:p>
    <w:p w14:paraId="3A8C67ED" w14:textId="1FFD4356" w:rsidR="00CB5AA7" w:rsidRDefault="0036155E" w:rsidP="00236A10">
      <w:pPr>
        <w:spacing w:after="0"/>
        <w:jc w:val="both"/>
        <w:rPr>
          <w:rFonts w:ascii="Arial" w:eastAsia="Times New Roman" w:hAnsi="Arial" w:cs="Arial"/>
        </w:rPr>
      </w:pPr>
      <w:r w:rsidRPr="0036155E">
        <w:rPr>
          <w:rFonts w:ascii="Arial" w:hAnsi="Arial" w:cs="Arial"/>
          <w:b/>
        </w:rPr>
        <w:t>Za vysoce rizikovou třetí zemi se</w:t>
      </w:r>
      <w:r>
        <w:rPr>
          <w:rFonts w:ascii="Arial" w:hAnsi="Arial" w:cs="Arial"/>
        </w:rPr>
        <w:t xml:space="preserve"> v</w:t>
      </w:r>
      <w:r w:rsidR="00CB5AA7">
        <w:rPr>
          <w:rFonts w:ascii="Arial" w:hAnsi="Arial" w:cs="Arial"/>
        </w:rPr>
        <w:t xml:space="preserve">e smyslu </w:t>
      </w:r>
      <w:r w:rsidR="00A534D4">
        <w:rPr>
          <w:rFonts w:ascii="Arial" w:hAnsi="Arial" w:cs="Arial"/>
        </w:rPr>
        <w:t xml:space="preserve">ustanovení </w:t>
      </w:r>
      <w:r w:rsidR="00CB5AA7">
        <w:rPr>
          <w:rFonts w:ascii="Arial" w:hAnsi="Arial" w:cs="Arial"/>
        </w:rPr>
        <w:t xml:space="preserve">§ 9 odst. 1 písm. a) bod 3 </w:t>
      </w:r>
      <w:r w:rsidR="003A4C93">
        <w:rPr>
          <w:rFonts w:ascii="Arial" w:hAnsi="Arial" w:cs="Arial"/>
        </w:rPr>
        <w:t xml:space="preserve">zákona č. 253/2008 Sb., o některých opatřeních proti legalizaci výnosů z trestné činnosti a financování terorismu, ve znění pozdějších předpisů (dále jen </w:t>
      </w:r>
      <w:r w:rsidR="003A4C93" w:rsidRPr="000E4143">
        <w:rPr>
          <w:rFonts w:ascii="Arial" w:hAnsi="Arial" w:cs="Arial"/>
          <w:i/>
        </w:rPr>
        <w:t>„AML zákon“</w:t>
      </w:r>
      <w:r w:rsidR="003A4C93">
        <w:rPr>
          <w:rFonts w:ascii="Arial" w:hAnsi="Arial" w:cs="Arial"/>
        </w:rPr>
        <w:t>)</w:t>
      </w:r>
      <w:r w:rsidR="00A534D4">
        <w:rPr>
          <w:rFonts w:ascii="Arial" w:hAnsi="Arial" w:cs="Arial"/>
        </w:rPr>
        <w:t xml:space="preserve"> </w:t>
      </w:r>
      <w:r w:rsidR="00A534D4">
        <w:rPr>
          <w:rFonts w:ascii="Arial" w:hAnsi="Arial" w:cs="Arial"/>
          <w:b/>
        </w:rPr>
        <w:t xml:space="preserve">považuje „třetí země“, </w:t>
      </w:r>
      <w:r w:rsidR="00A534D4" w:rsidRPr="00A534D4">
        <w:rPr>
          <w:rFonts w:ascii="Arial" w:eastAsia="Times New Roman" w:hAnsi="Arial" w:cs="Arial"/>
        </w:rPr>
        <w:t xml:space="preserve">kterou </w:t>
      </w:r>
      <w:r>
        <w:rPr>
          <w:rFonts w:ascii="Arial" w:eastAsia="Times New Roman" w:hAnsi="Arial" w:cs="Arial"/>
        </w:rPr>
        <w:t xml:space="preserve">je </w:t>
      </w:r>
      <w:r w:rsidR="00A534D4" w:rsidRPr="00A534D4">
        <w:rPr>
          <w:rFonts w:ascii="Arial" w:eastAsia="Times New Roman" w:hAnsi="Arial" w:cs="Arial"/>
        </w:rPr>
        <w:t>na základě přímo použitelného předpisu Evropské unie nebo z jiného důvodu třeba považovat za vysoce rizikovou</w:t>
      </w:r>
      <w:r>
        <w:rPr>
          <w:rFonts w:ascii="Arial" w:eastAsia="Times New Roman" w:hAnsi="Arial" w:cs="Arial"/>
        </w:rPr>
        <w:t xml:space="preserve">. </w:t>
      </w:r>
      <w:r w:rsidRPr="00BE0894">
        <w:rPr>
          <w:rFonts w:ascii="Arial" w:eastAsia="Times New Roman" w:hAnsi="Arial" w:cs="Arial"/>
          <w:b/>
        </w:rPr>
        <w:t>Mezi třetí země</w:t>
      </w:r>
      <w:r w:rsidR="00CB109A">
        <w:rPr>
          <w:rFonts w:ascii="Arial" w:eastAsia="Times New Roman" w:hAnsi="Arial" w:cs="Arial"/>
          <w:b/>
        </w:rPr>
        <w:t xml:space="preserve"> tak</w:t>
      </w:r>
      <w:r w:rsidRPr="00BE0894">
        <w:rPr>
          <w:rFonts w:ascii="Arial" w:eastAsia="Times New Roman" w:hAnsi="Arial" w:cs="Arial"/>
          <w:b/>
        </w:rPr>
        <w:t xml:space="preserve"> nelze řadit členské státy EU, tedy ani Chorvatsko</w:t>
      </w:r>
      <w:r>
        <w:rPr>
          <w:rFonts w:ascii="Arial" w:eastAsia="Times New Roman" w:hAnsi="Arial" w:cs="Arial"/>
        </w:rPr>
        <w:t xml:space="preserve">, a to s odkazem na </w:t>
      </w:r>
      <w:r w:rsidR="00BE0894">
        <w:rPr>
          <w:rFonts w:ascii="Arial" w:eastAsia="Times New Roman" w:hAnsi="Arial" w:cs="Arial"/>
        </w:rPr>
        <w:t xml:space="preserve">legální definici </w:t>
      </w:r>
      <w:r w:rsidR="00BE0894" w:rsidRPr="00BE0894">
        <w:rPr>
          <w:rFonts w:ascii="Arial" w:eastAsia="Times New Roman" w:hAnsi="Arial" w:cs="Arial"/>
        </w:rPr>
        <w:t xml:space="preserve">„třetí země“ </w:t>
      </w:r>
      <w:r w:rsidR="00BE0894">
        <w:rPr>
          <w:rFonts w:ascii="Arial" w:eastAsia="Times New Roman" w:hAnsi="Arial" w:cs="Arial"/>
        </w:rPr>
        <w:t xml:space="preserve">v </w:t>
      </w:r>
      <w:r>
        <w:rPr>
          <w:rFonts w:ascii="Arial" w:eastAsia="Times New Roman" w:hAnsi="Arial" w:cs="Arial"/>
        </w:rPr>
        <w:t xml:space="preserve">§ </w:t>
      </w:r>
      <w:r w:rsidR="00BE0894">
        <w:rPr>
          <w:rFonts w:ascii="Arial" w:eastAsia="Times New Roman" w:hAnsi="Arial" w:cs="Arial"/>
        </w:rPr>
        <w:t>4 ods</w:t>
      </w:r>
      <w:r w:rsidR="00BE0894" w:rsidRPr="00BE0894">
        <w:rPr>
          <w:rFonts w:ascii="Arial" w:eastAsia="Times New Roman" w:hAnsi="Arial" w:cs="Arial"/>
        </w:rPr>
        <w:t xml:space="preserve">t. 12 AML zákona, </w:t>
      </w:r>
      <w:r w:rsidR="00BE0894">
        <w:rPr>
          <w:rFonts w:ascii="Arial" w:eastAsia="Times New Roman" w:hAnsi="Arial" w:cs="Arial"/>
        </w:rPr>
        <w:t xml:space="preserve">podle </w:t>
      </w:r>
      <w:r w:rsidR="00BE0894" w:rsidRPr="00BE0894">
        <w:rPr>
          <w:rFonts w:ascii="Arial" w:eastAsia="Times New Roman" w:hAnsi="Arial" w:cs="Arial"/>
        </w:rPr>
        <w:t>které</w:t>
      </w:r>
      <w:r w:rsidRPr="00BE0894">
        <w:rPr>
          <w:rFonts w:ascii="Arial" w:eastAsia="Times New Roman" w:hAnsi="Arial" w:cs="Arial"/>
        </w:rPr>
        <w:t xml:space="preserve"> </w:t>
      </w:r>
      <w:r w:rsidR="00BE0894">
        <w:rPr>
          <w:rFonts w:ascii="Arial" w:eastAsia="Times New Roman" w:hAnsi="Arial" w:cs="Arial"/>
        </w:rPr>
        <w:t>se jí rozumí</w:t>
      </w:r>
      <w:r w:rsidRPr="00BE0894">
        <w:rPr>
          <w:rFonts w:ascii="Arial" w:eastAsia="Times New Roman" w:hAnsi="Arial" w:cs="Arial"/>
        </w:rPr>
        <w:t xml:space="preserve"> stát, který není členským státem Evropské unie nebo státem tvořícím Evropský hospodářský prostor.</w:t>
      </w:r>
    </w:p>
    <w:p w14:paraId="3AD70B3B" w14:textId="77777777" w:rsidR="002509A4" w:rsidRDefault="002509A4" w:rsidP="00236A10">
      <w:pPr>
        <w:spacing w:after="0"/>
        <w:jc w:val="both"/>
        <w:rPr>
          <w:rFonts w:ascii="Arial" w:eastAsia="Times New Roman" w:hAnsi="Arial" w:cs="Arial"/>
        </w:rPr>
      </w:pPr>
    </w:p>
    <w:p w14:paraId="556A573D" w14:textId="66D9A605" w:rsidR="004C4F00" w:rsidRDefault="004C4F00" w:rsidP="00236A10">
      <w:pPr>
        <w:spacing w:after="0"/>
        <w:jc w:val="both"/>
        <w:rPr>
          <w:rFonts w:ascii="Arial" w:eastAsia="Times New Roman" w:hAnsi="Arial" w:cs="Arial"/>
        </w:rPr>
      </w:pPr>
    </w:p>
    <w:p w14:paraId="46C3010E" w14:textId="77777777" w:rsidR="00970E40" w:rsidRDefault="00970E40" w:rsidP="00236A10">
      <w:pPr>
        <w:spacing w:after="0"/>
        <w:jc w:val="both"/>
        <w:rPr>
          <w:rFonts w:ascii="Arial" w:eastAsia="Times New Roman" w:hAnsi="Arial" w:cs="Arial"/>
        </w:rPr>
      </w:pPr>
    </w:p>
    <w:p w14:paraId="6BD39D89" w14:textId="01F624FA" w:rsidR="004C4F00" w:rsidRPr="00180D1B" w:rsidRDefault="00E976EE" w:rsidP="00C51940">
      <w:pPr>
        <w:pStyle w:val="Odstavecseseznamem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b/>
          <w:u w:val="single"/>
        </w:rPr>
      </w:pPr>
      <w:r w:rsidRPr="00180D1B">
        <w:rPr>
          <w:rFonts w:ascii="Arial" w:hAnsi="Arial" w:cs="Arial"/>
          <w:b/>
          <w:u w:val="single"/>
        </w:rPr>
        <w:t>J</w:t>
      </w:r>
      <w:r w:rsidR="004C4F00" w:rsidRPr="00180D1B">
        <w:rPr>
          <w:rFonts w:ascii="Arial" w:hAnsi="Arial" w:cs="Arial"/>
          <w:b/>
          <w:u w:val="single"/>
        </w:rPr>
        <w:t xml:space="preserve">urisdikce </w:t>
      </w:r>
      <w:r w:rsidRPr="00180D1B">
        <w:rPr>
          <w:rFonts w:ascii="Arial" w:hAnsi="Arial" w:cs="Arial"/>
          <w:b/>
          <w:u w:val="single"/>
        </w:rPr>
        <w:t>považovaná</w:t>
      </w:r>
      <w:r w:rsidR="004C4F00" w:rsidRPr="00180D1B">
        <w:rPr>
          <w:rFonts w:ascii="Arial" w:hAnsi="Arial" w:cs="Arial"/>
          <w:b/>
          <w:u w:val="single"/>
        </w:rPr>
        <w:t xml:space="preserve"> za vysoce rizikovou třetí zemi</w:t>
      </w:r>
    </w:p>
    <w:p w14:paraId="4EB4C2BC" w14:textId="079F85D6" w:rsidR="00CB109A" w:rsidRDefault="00CB109A" w:rsidP="00236A10">
      <w:pPr>
        <w:spacing w:after="0"/>
        <w:jc w:val="both"/>
        <w:rPr>
          <w:rFonts w:ascii="Arial" w:eastAsia="Times New Roman" w:hAnsi="Arial" w:cs="Arial"/>
        </w:rPr>
      </w:pPr>
    </w:p>
    <w:p w14:paraId="2F2D1349" w14:textId="77777777" w:rsidR="00583C4D" w:rsidRDefault="00583C4D" w:rsidP="00583C4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 v</w:t>
      </w:r>
      <w:r w:rsidR="00CB109A">
        <w:rPr>
          <w:rFonts w:ascii="Arial" w:eastAsia="Times New Roman" w:hAnsi="Arial" w:cs="Arial"/>
        </w:rPr>
        <w:t xml:space="preserve">ysoce rizikovou třetí zemí </w:t>
      </w:r>
      <w:r>
        <w:rPr>
          <w:rFonts w:ascii="Arial" w:eastAsia="Times New Roman" w:hAnsi="Arial" w:cs="Arial"/>
        </w:rPr>
        <w:t>s</w:t>
      </w:r>
      <w:r w:rsidR="00CB109A">
        <w:rPr>
          <w:rFonts w:ascii="Arial" w:eastAsia="Times New Roman" w:hAnsi="Arial" w:cs="Arial"/>
        </w:rPr>
        <w:t xml:space="preserve">e tak dle AML zákona </w:t>
      </w:r>
      <w:r>
        <w:rPr>
          <w:rFonts w:ascii="Arial" w:eastAsia="Times New Roman" w:hAnsi="Arial" w:cs="Arial"/>
        </w:rPr>
        <w:t xml:space="preserve">považuje </w:t>
      </w:r>
      <w:r w:rsidR="00CB109A">
        <w:rPr>
          <w:rFonts w:ascii="Arial" w:eastAsia="Times New Roman" w:hAnsi="Arial" w:cs="Arial"/>
        </w:rPr>
        <w:t>jurisdikce</w:t>
      </w:r>
    </w:p>
    <w:p w14:paraId="113E856D" w14:textId="77777777" w:rsidR="00583C4D" w:rsidRPr="00583C4D" w:rsidRDefault="00583C4D" w:rsidP="00583C4D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</w:rPr>
      </w:pPr>
      <w:r w:rsidRPr="00583C4D">
        <w:rPr>
          <w:rFonts w:ascii="Arial" w:eastAsia="Times New Roman" w:hAnsi="Arial" w:cs="Arial"/>
          <w:b/>
        </w:rPr>
        <w:t>na základě přímo použitelného předpisu Evropské unie</w:t>
      </w:r>
      <w:r w:rsidRPr="00583C4D">
        <w:rPr>
          <w:rFonts w:ascii="Arial" w:eastAsia="Times New Roman" w:hAnsi="Arial" w:cs="Arial"/>
          <w:b/>
          <w:bCs/>
        </w:rPr>
        <w:t xml:space="preserve"> </w:t>
      </w:r>
    </w:p>
    <w:p w14:paraId="74D5FCCC" w14:textId="3371C82D" w:rsidR="00583C4D" w:rsidRPr="00180D1B" w:rsidRDefault="00CB749D" w:rsidP="00180D1B">
      <w:pPr>
        <w:pStyle w:val="Odstavecseseznamem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t</w:t>
      </w:r>
      <w:r w:rsidR="00583C4D">
        <w:rPr>
          <w:rFonts w:ascii="Arial" w:eastAsia="Times New Roman" w:hAnsi="Arial" w:cs="Arial"/>
          <w:bCs/>
        </w:rPr>
        <w:t xml:space="preserve">ím je v současnosti </w:t>
      </w:r>
      <w:r w:rsidR="00475C3F" w:rsidRPr="00583C4D">
        <w:rPr>
          <w:rFonts w:ascii="Arial" w:eastAsia="Times New Roman" w:hAnsi="Arial" w:cs="Arial"/>
          <w:b/>
          <w:bCs/>
        </w:rPr>
        <w:t xml:space="preserve">Nařízení Komise v přenesené pravomoci (EU) 2016/1675 </w:t>
      </w:r>
      <w:r w:rsidR="00475C3F" w:rsidRPr="00583C4D">
        <w:rPr>
          <w:rFonts w:ascii="Arial" w:eastAsia="Times New Roman" w:hAnsi="Arial" w:cs="Arial"/>
        </w:rPr>
        <w:t>ze dne 14. července 2016, kterým se směrnice (EU) 2015/849 Evropského parlamentu a Rady doplňuje o identifikaci vysoce rizikových třetích zemí se strategickými nedostatky</w:t>
      </w:r>
      <w:r w:rsidR="00B21CA3">
        <w:rPr>
          <w:rFonts w:ascii="Arial" w:eastAsia="Times New Roman" w:hAnsi="Arial" w:cs="Arial"/>
        </w:rPr>
        <w:t xml:space="preserve"> (dále jen </w:t>
      </w:r>
      <w:r w:rsidR="00B21CA3" w:rsidRPr="00B21CA3">
        <w:rPr>
          <w:rFonts w:ascii="Arial" w:eastAsia="Times New Roman" w:hAnsi="Arial" w:cs="Arial"/>
          <w:i/>
        </w:rPr>
        <w:t>„Nařízení 2016/1675“</w:t>
      </w:r>
      <w:r w:rsidR="00B21CA3">
        <w:rPr>
          <w:rFonts w:ascii="Arial" w:eastAsia="Times New Roman" w:hAnsi="Arial" w:cs="Arial"/>
        </w:rPr>
        <w:t>)</w:t>
      </w:r>
      <w:r w:rsidR="001E3862">
        <w:rPr>
          <w:rFonts w:ascii="Arial" w:eastAsia="Times New Roman" w:hAnsi="Arial" w:cs="Arial"/>
        </w:rPr>
        <w:t xml:space="preserve"> prostřednictvím nějž je vytvářen tz</w:t>
      </w:r>
      <w:r w:rsidR="008C3A7A">
        <w:rPr>
          <w:rFonts w:ascii="Arial" w:eastAsia="Times New Roman" w:hAnsi="Arial" w:cs="Arial"/>
        </w:rPr>
        <w:t>v</w:t>
      </w:r>
      <w:r w:rsidR="001E3862">
        <w:rPr>
          <w:rFonts w:ascii="Arial" w:eastAsia="Times New Roman" w:hAnsi="Arial" w:cs="Arial"/>
        </w:rPr>
        <w:t xml:space="preserve">. </w:t>
      </w:r>
      <w:r w:rsidR="002A5F69">
        <w:rPr>
          <w:rFonts w:ascii="Arial" w:eastAsia="Times New Roman" w:hAnsi="Arial" w:cs="Arial"/>
        </w:rPr>
        <w:t>u</w:t>
      </w:r>
      <w:r w:rsidR="001E3862">
        <w:rPr>
          <w:rFonts w:ascii="Arial" w:eastAsia="Times New Roman" w:hAnsi="Arial" w:cs="Arial"/>
        </w:rPr>
        <w:t>nijní seznam vysoce rizikových třetích zemí</w:t>
      </w:r>
    </w:p>
    <w:p w14:paraId="40AE2173" w14:textId="748EAEF9" w:rsidR="00583C4D" w:rsidRDefault="00583C4D" w:rsidP="00583C4D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Arial" w:eastAsia="Times New Roman" w:hAnsi="Arial" w:cs="Arial"/>
          <w:b/>
        </w:rPr>
      </w:pPr>
      <w:r w:rsidRPr="00583C4D">
        <w:rPr>
          <w:rFonts w:ascii="Arial" w:eastAsia="Times New Roman" w:hAnsi="Arial" w:cs="Arial"/>
          <w:b/>
        </w:rPr>
        <w:t>z jiného důvodu</w:t>
      </w:r>
    </w:p>
    <w:p w14:paraId="20DB7A39" w14:textId="51A4DB7C" w:rsidR="00CB749D" w:rsidRDefault="004C4F00" w:rsidP="00FB4DB8">
      <w:pPr>
        <w:pStyle w:val="Odstavecseseznamem"/>
        <w:numPr>
          <w:ilvl w:val="0"/>
          <w:numId w:val="1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tím je</w:t>
      </w:r>
      <w:r w:rsidR="00CB749D" w:rsidRPr="00CB749D">
        <w:rPr>
          <w:rFonts w:ascii="Arial" w:eastAsia="Times New Roman" w:hAnsi="Arial" w:cs="Arial"/>
        </w:rPr>
        <w:t xml:space="preserve"> seznam FATF označovaný jako „</w:t>
      </w:r>
      <w:r w:rsidR="004D732B">
        <w:rPr>
          <w:rFonts w:ascii="Arial" w:eastAsia="Times New Roman" w:hAnsi="Arial" w:cs="Arial"/>
        </w:rPr>
        <w:t>černý seznam</w:t>
      </w:r>
      <w:r w:rsidR="00CB749D" w:rsidRPr="00CB749D">
        <w:rPr>
          <w:rFonts w:ascii="Arial" w:eastAsia="Times New Roman" w:hAnsi="Arial" w:cs="Arial"/>
        </w:rPr>
        <w:t>“</w:t>
      </w:r>
      <w:r w:rsidR="00CB749D">
        <w:rPr>
          <w:rFonts w:ascii="Arial" w:eastAsia="Times New Roman" w:hAnsi="Arial" w:cs="Arial"/>
        </w:rPr>
        <w:t xml:space="preserve"> </w:t>
      </w:r>
      <w:r w:rsidR="00CB749D">
        <w:rPr>
          <w:rFonts w:ascii="Arial" w:eastAsia="Times New Roman" w:hAnsi="Arial" w:cs="Arial"/>
          <w:i/>
        </w:rPr>
        <w:t>(</w:t>
      </w:r>
      <w:proofErr w:type="spellStart"/>
      <w:r w:rsidR="00CB749D">
        <w:rPr>
          <w:rFonts w:ascii="Arial" w:eastAsia="Times New Roman" w:hAnsi="Arial" w:cs="Arial"/>
          <w:i/>
        </w:rPr>
        <w:t>High</w:t>
      </w:r>
      <w:proofErr w:type="spellEnd"/>
      <w:r w:rsidR="00CB749D">
        <w:rPr>
          <w:rFonts w:ascii="Arial" w:eastAsia="Times New Roman" w:hAnsi="Arial" w:cs="Arial"/>
          <w:i/>
        </w:rPr>
        <w:t xml:space="preserve">-Risk </w:t>
      </w:r>
      <w:proofErr w:type="spellStart"/>
      <w:r w:rsidR="00CB749D">
        <w:rPr>
          <w:rFonts w:ascii="Arial" w:eastAsia="Times New Roman" w:hAnsi="Arial" w:cs="Arial"/>
          <w:i/>
        </w:rPr>
        <w:t>Jurisdictions</w:t>
      </w:r>
      <w:proofErr w:type="spellEnd"/>
      <w:r w:rsidR="00CB749D">
        <w:rPr>
          <w:rFonts w:ascii="Arial" w:eastAsia="Times New Roman" w:hAnsi="Arial" w:cs="Arial"/>
          <w:i/>
        </w:rPr>
        <w:t xml:space="preserve"> </w:t>
      </w:r>
      <w:proofErr w:type="spellStart"/>
      <w:r w:rsidR="00CB749D">
        <w:rPr>
          <w:rFonts w:ascii="Arial" w:eastAsia="Times New Roman" w:hAnsi="Arial" w:cs="Arial"/>
          <w:i/>
        </w:rPr>
        <w:t>subject</w:t>
      </w:r>
      <w:proofErr w:type="spellEnd"/>
      <w:r w:rsidR="00CB749D">
        <w:rPr>
          <w:rFonts w:ascii="Arial" w:eastAsia="Times New Roman" w:hAnsi="Arial" w:cs="Arial"/>
          <w:i/>
        </w:rPr>
        <w:t xml:space="preserve"> to a Call </w:t>
      </w:r>
      <w:proofErr w:type="spellStart"/>
      <w:r w:rsidR="00CB749D">
        <w:rPr>
          <w:rFonts w:ascii="Arial" w:eastAsia="Times New Roman" w:hAnsi="Arial" w:cs="Arial"/>
          <w:i/>
        </w:rPr>
        <w:t>for</w:t>
      </w:r>
      <w:proofErr w:type="spellEnd"/>
      <w:r w:rsidR="00CB749D">
        <w:rPr>
          <w:rFonts w:ascii="Arial" w:eastAsia="Times New Roman" w:hAnsi="Arial" w:cs="Arial"/>
          <w:i/>
        </w:rPr>
        <w:t xml:space="preserve"> </w:t>
      </w:r>
      <w:proofErr w:type="spellStart"/>
      <w:r w:rsidR="00CB749D">
        <w:rPr>
          <w:rFonts w:ascii="Arial" w:eastAsia="Times New Roman" w:hAnsi="Arial" w:cs="Arial"/>
          <w:i/>
        </w:rPr>
        <w:t>Action</w:t>
      </w:r>
      <w:proofErr w:type="spellEnd"/>
      <w:r w:rsidR="00CB749D">
        <w:rPr>
          <w:rFonts w:ascii="Arial" w:eastAsia="Times New Roman" w:hAnsi="Arial" w:cs="Arial"/>
          <w:i/>
        </w:rPr>
        <w:t>)</w:t>
      </w:r>
      <w:r w:rsidR="00CB749D">
        <w:rPr>
          <w:rFonts w:ascii="Arial" w:eastAsia="Times New Roman" w:hAnsi="Arial" w:cs="Arial"/>
        </w:rPr>
        <w:t xml:space="preserve">, který zahrnuje vysoce rizikové jurisdikce mající strategické nedostatky v jejich AML/CFT režimech  </w:t>
      </w:r>
    </w:p>
    <w:p w14:paraId="5EBE6577" w14:textId="248439F7" w:rsidR="00FB4DB8" w:rsidRPr="00C51940" w:rsidRDefault="00E976EE" w:rsidP="00FB4DB8">
      <w:pPr>
        <w:pStyle w:val="Odstavecseseznamem"/>
        <w:numPr>
          <w:ilvl w:val="0"/>
          <w:numId w:val="15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jiným </w:t>
      </w:r>
      <w:r w:rsidR="00FB4DB8">
        <w:rPr>
          <w:rFonts w:ascii="Arial" w:eastAsia="Times New Roman" w:hAnsi="Arial" w:cs="Arial"/>
        </w:rPr>
        <w:t xml:space="preserve">důvodem je např. </w:t>
      </w:r>
      <w:r w:rsidR="008C3A7A">
        <w:rPr>
          <w:rFonts w:ascii="Arial" w:eastAsia="Times New Roman" w:hAnsi="Arial" w:cs="Arial"/>
        </w:rPr>
        <w:t>u</w:t>
      </w:r>
      <w:r w:rsidR="00FB4DB8">
        <w:rPr>
          <w:rFonts w:ascii="Arial" w:eastAsia="Times New Roman" w:hAnsi="Arial" w:cs="Arial"/>
        </w:rPr>
        <w:t>snesení Poslanecké sněmovny Parlamentu ČR či prohlášení Evropského parlamentu</w:t>
      </w:r>
      <w:r w:rsidR="004C4F00">
        <w:rPr>
          <w:rFonts w:ascii="Arial" w:eastAsia="Times New Roman" w:hAnsi="Arial" w:cs="Arial"/>
        </w:rPr>
        <w:t>, kterým je jurisdikce označena</w:t>
      </w:r>
      <w:r w:rsidR="00FB4DB8">
        <w:rPr>
          <w:rFonts w:ascii="Arial" w:eastAsia="Times New Roman" w:hAnsi="Arial" w:cs="Arial"/>
        </w:rPr>
        <w:t xml:space="preserve"> za stát, který podporuje terorismus</w:t>
      </w:r>
      <w:r w:rsidR="004C4F00">
        <w:rPr>
          <w:rFonts w:ascii="Arial" w:eastAsia="Times New Roman" w:hAnsi="Arial" w:cs="Arial"/>
        </w:rPr>
        <w:t>,</w:t>
      </w:r>
      <w:r w:rsidR="00FB4DB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viz</w:t>
      </w:r>
      <w:r w:rsidR="004C4F00">
        <w:rPr>
          <w:rFonts w:ascii="Arial" w:eastAsia="Times New Roman" w:hAnsi="Arial" w:cs="Arial"/>
        </w:rPr>
        <w:t xml:space="preserve"> případ Ruské federace</w:t>
      </w:r>
      <w:r>
        <w:rPr>
          <w:rFonts w:ascii="Arial" w:eastAsia="Times New Roman" w:hAnsi="Arial" w:cs="Arial"/>
        </w:rPr>
        <w:t xml:space="preserve"> (více stanovisko FAÚ </w:t>
      </w:r>
      <w:proofErr w:type="gramStart"/>
      <w:r>
        <w:rPr>
          <w:rFonts w:ascii="Arial" w:eastAsia="Times New Roman" w:hAnsi="Arial" w:cs="Arial"/>
        </w:rPr>
        <w:t>č.j.</w:t>
      </w:r>
      <w:proofErr w:type="gramEnd"/>
      <w:r>
        <w:rPr>
          <w:rFonts w:ascii="Arial" w:eastAsia="Times New Roman" w:hAnsi="Arial" w:cs="Arial"/>
        </w:rPr>
        <w:t xml:space="preserve"> FAU-26501/2023/03 ze dne 16</w:t>
      </w:r>
      <w:r w:rsidRPr="00C51940">
        <w:rPr>
          <w:rFonts w:ascii="Arial" w:eastAsia="Times New Roman" w:hAnsi="Arial" w:cs="Arial"/>
        </w:rPr>
        <w:t>. března 2023)</w:t>
      </w:r>
      <w:r w:rsidR="004C4F00" w:rsidRPr="00C51940">
        <w:rPr>
          <w:rFonts w:ascii="Arial" w:eastAsia="Times New Roman" w:hAnsi="Arial" w:cs="Arial"/>
        </w:rPr>
        <w:t xml:space="preserve">. </w:t>
      </w:r>
    </w:p>
    <w:p w14:paraId="0DDE0690" w14:textId="0A1061F4" w:rsidR="00CB109A" w:rsidRPr="00C51940" w:rsidRDefault="00E976EE" w:rsidP="00236A10">
      <w:pPr>
        <w:spacing w:after="0"/>
        <w:jc w:val="both"/>
        <w:rPr>
          <w:rFonts w:ascii="Arial" w:hAnsi="Arial" w:cs="Arial"/>
        </w:rPr>
      </w:pPr>
      <w:r w:rsidRPr="00C51940">
        <w:rPr>
          <w:rFonts w:ascii="Arial" w:hAnsi="Arial" w:cs="Arial"/>
        </w:rPr>
        <w:t xml:space="preserve">Naopak </w:t>
      </w:r>
      <w:r w:rsidRPr="00180D1B">
        <w:rPr>
          <w:rFonts w:ascii="Arial" w:hAnsi="Arial" w:cs="Arial"/>
          <w:b/>
        </w:rPr>
        <w:t>jurisdikce, která by neměla spadat pod pojem vysoce riziková třetí země</w:t>
      </w:r>
      <w:r w:rsidR="00257C80" w:rsidRPr="00C51940">
        <w:rPr>
          <w:rFonts w:ascii="Arial" w:hAnsi="Arial" w:cs="Arial"/>
        </w:rPr>
        <w:t>, je</w:t>
      </w:r>
    </w:p>
    <w:p w14:paraId="52CBB19C" w14:textId="6C135629" w:rsidR="00B21CA3" w:rsidRPr="00C51940" w:rsidRDefault="00257C80" w:rsidP="004D732B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51940">
        <w:rPr>
          <w:rFonts w:ascii="Arial" w:hAnsi="Arial" w:cs="Arial"/>
        </w:rPr>
        <w:t>členský stát</w:t>
      </w:r>
      <w:r w:rsidR="00B21CA3" w:rsidRPr="00C51940">
        <w:rPr>
          <w:rFonts w:ascii="Arial" w:hAnsi="Arial" w:cs="Arial"/>
        </w:rPr>
        <w:t xml:space="preserve"> EU</w:t>
      </w:r>
    </w:p>
    <w:p w14:paraId="13BA6397" w14:textId="7A787306" w:rsidR="00257C80" w:rsidRPr="00C51940" w:rsidRDefault="00257C80" w:rsidP="005F2CB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51940">
        <w:rPr>
          <w:rFonts w:ascii="Arial" w:eastAsia="Times New Roman" w:hAnsi="Arial" w:cs="Arial"/>
        </w:rPr>
        <w:t xml:space="preserve">stát zařazený na </w:t>
      </w:r>
      <w:r w:rsidR="004D732B" w:rsidRPr="00C51940">
        <w:rPr>
          <w:rFonts w:ascii="Arial" w:eastAsia="Times New Roman" w:hAnsi="Arial" w:cs="Arial"/>
        </w:rPr>
        <w:t xml:space="preserve">seznam FATF označovaný </w:t>
      </w:r>
      <w:r w:rsidR="00B21CA3" w:rsidRPr="00C51940">
        <w:rPr>
          <w:rFonts w:ascii="Arial" w:eastAsia="Times New Roman" w:hAnsi="Arial" w:cs="Arial"/>
        </w:rPr>
        <w:t xml:space="preserve">jako </w:t>
      </w:r>
      <w:r w:rsidR="004D732B" w:rsidRPr="00C51940">
        <w:rPr>
          <w:rFonts w:ascii="Arial" w:hAnsi="Arial" w:cs="Arial"/>
        </w:rPr>
        <w:t>„šedý seznam“</w:t>
      </w:r>
      <w:r w:rsidR="004D732B" w:rsidRPr="00C51940">
        <w:rPr>
          <w:rFonts w:ascii="Arial" w:hAnsi="Arial" w:cs="Arial"/>
          <w:b/>
        </w:rPr>
        <w:t xml:space="preserve"> </w:t>
      </w:r>
      <w:r w:rsidR="004D732B" w:rsidRPr="00C51940">
        <w:rPr>
          <w:rFonts w:ascii="Arial" w:eastAsia="Times New Roman" w:hAnsi="Arial" w:cs="Arial"/>
          <w:i/>
        </w:rPr>
        <w:t>(</w:t>
      </w:r>
      <w:proofErr w:type="spellStart"/>
      <w:r w:rsidR="004D732B" w:rsidRPr="00C51940">
        <w:rPr>
          <w:rFonts w:ascii="Arial" w:eastAsia="Times New Roman" w:hAnsi="Arial" w:cs="Arial"/>
          <w:i/>
        </w:rPr>
        <w:t>Jurisdictions</w:t>
      </w:r>
      <w:proofErr w:type="spellEnd"/>
      <w:r w:rsidR="004D732B" w:rsidRPr="00C51940">
        <w:rPr>
          <w:rFonts w:ascii="Arial" w:eastAsia="Times New Roman" w:hAnsi="Arial" w:cs="Arial"/>
          <w:i/>
        </w:rPr>
        <w:t xml:space="preserve"> </w:t>
      </w:r>
      <w:proofErr w:type="spellStart"/>
      <w:r w:rsidR="004D732B" w:rsidRPr="00C51940">
        <w:rPr>
          <w:rFonts w:ascii="Arial" w:eastAsia="Times New Roman" w:hAnsi="Arial" w:cs="Arial"/>
          <w:i/>
        </w:rPr>
        <w:t>under</w:t>
      </w:r>
      <w:proofErr w:type="spellEnd"/>
      <w:r w:rsidR="004D732B" w:rsidRPr="00C51940">
        <w:rPr>
          <w:rFonts w:ascii="Arial" w:eastAsia="Times New Roman" w:hAnsi="Arial" w:cs="Arial"/>
          <w:i/>
        </w:rPr>
        <w:t xml:space="preserve"> </w:t>
      </w:r>
      <w:proofErr w:type="spellStart"/>
      <w:r w:rsidR="004D732B" w:rsidRPr="00C51940">
        <w:rPr>
          <w:rFonts w:ascii="Arial" w:eastAsia="Times New Roman" w:hAnsi="Arial" w:cs="Arial"/>
          <w:i/>
        </w:rPr>
        <w:t>Increased</w:t>
      </w:r>
      <w:proofErr w:type="spellEnd"/>
      <w:r w:rsidR="004D732B" w:rsidRPr="00C51940">
        <w:rPr>
          <w:rFonts w:ascii="Arial" w:eastAsia="Times New Roman" w:hAnsi="Arial" w:cs="Arial"/>
          <w:i/>
        </w:rPr>
        <w:t xml:space="preserve"> Monitoring)</w:t>
      </w:r>
      <w:r w:rsidR="002A5F69" w:rsidRPr="00C51940">
        <w:rPr>
          <w:rStyle w:val="Znakapoznpodarou"/>
          <w:rFonts w:ascii="Arial" w:eastAsia="Times New Roman" w:hAnsi="Arial" w:cs="Arial"/>
          <w:i/>
        </w:rPr>
        <w:footnoteReference w:id="3"/>
      </w:r>
      <w:r w:rsidR="002A5F69" w:rsidRPr="00C51940">
        <w:rPr>
          <w:rFonts w:ascii="Arial" w:eastAsia="Times New Roman" w:hAnsi="Arial" w:cs="Arial"/>
        </w:rPr>
        <w:t>, který současně není na unijním seznamu vysoce rizikových třetích zemí</w:t>
      </w:r>
      <w:r w:rsidRPr="00C51940">
        <w:rPr>
          <w:rFonts w:ascii="Arial" w:hAnsi="Arial" w:cs="Arial"/>
        </w:rPr>
        <w:t>.</w:t>
      </w:r>
      <w:r w:rsidR="004D732B" w:rsidRPr="00C51940">
        <w:rPr>
          <w:rFonts w:ascii="Arial" w:hAnsi="Arial" w:cs="Arial"/>
        </w:rPr>
        <w:t xml:space="preserve"> </w:t>
      </w:r>
    </w:p>
    <w:p w14:paraId="74876075" w14:textId="77777777" w:rsidR="002A5F69" w:rsidRPr="00C51940" w:rsidRDefault="002A5F69" w:rsidP="002A5F69">
      <w:pPr>
        <w:pStyle w:val="Odstavecseseznamem"/>
        <w:spacing w:after="0"/>
        <w:ind w:left="786"/>
        <w:jc w:val="both"/>
        <w:rPr>
          <w:rFonts w:ascii="Arial" w:hAnsi="Arial" w:cs="Arial"/>
        </w:rPr>
      </w:pPr>
    </w:p>
    <w:p w14:paraId="677F1BD4" w14:textId="3B5FBA06" w:rsidR="00C51940" w:rsidRPr="00180D1B" w:rsidRDefault="00B21CA3" w:rsidP="00B21CA3">
      <w:pPr>
        <w:spacing w:after="0"/>
        <w:jc w:val="both"/>
        <w:rPr>
          <w:rStyle w:val="markedcontent"/>
          <w:rFonts w:ascii="Arial" w:hAnsi="Arial" w:cs="Arial"/>
        </w:rPr>
      </w:pPr>
      <w:r w:rsidRPr="00C51940">
        <w:rPr>
          <w:rFonts w:ascii="Arial" w:hAnsi="Arial" w:cs="Arial"/>
        </w:rPr>
        <w:lastRenderedPageBreak/>
        <w:t xml:space="preserve">Zde je vhodné zkonstatovat, že Evropská komise při tvorbě unijního seznamu vysoce rizikových třetích zemí </w:t>
      </w:r>
      <w:r w:rsidR="003B2B9A" w:rsidRPr="00C51940">
        <w:rPr>
          <w:rFonts w:ascii="Arial" w:hAnsi="Arial" w:cs="Arial"/>
        </w:rPr>
        <w:t xml:space="preserve">prostřednictvím </w:t>
      </w:r>
      <w:r w:rsidR="003B2B9A" w:rsidRPr="00C51940">
        <w:rPr>
          <w:rFonts w:ascii="Arial" w:eastAsia="Times New Roman" w:hAnsi="Arial" w:cs="Arial"/>
        </w:rPr>
        <w:t>Nařízení 2016/1675</w:t>
      </w:r>
      <w:r w:rsidR="003B2B9A" w:rsidRPr="00C51940">
        <w:rPr>
          <w:rFonts w:ascii="Arial" w:eastAsia="Times New Roman" w:hAnsi="Arial" w:cs="Arial"/>
          <w:i/>
        </w:rPr>
        <w:t xml:space="preserve"> </w:t>
      </w:r>
      <w:r w:rsidR="003B2B9A" w:rsidRPr="00C51940">
        <w:rPr>
          <w:rFonts w:ascii="Arial" w:hAnsi="Arial" w:cs="Arial"/>
        </w:rPr>
        <w:t xml:space="preserve">na něj zařazuje </w:t>
      </w:r>
      <w:r w:rsidR="009712F9" w:rsidRPr="00C51940">
        <w:rPr>
          <w:rFonts w:ascii="Arial" w:hAnsi="Arial" w:cs="Arial"/>
        </w:rPr>
        <w:t>(s delší</w:t>
      </w:r>
      <w:r w:rsidR="009712F9">
        <w:rPr>
          <w:rFonts w:ascii="Arial" w:hAnsi="Arial" w:cs="Arial"/>
        </w:rPr>
        <w:t xml:space="preserve"> časovou </w:t>
      </w:r>
      <w:r w:rsidR="009712F9" w:rsidRPr="00180D1B">
        <w:rPr>
          <w:rFonts w:ascii="Arial" w:hAnsi="Arial" w:cs="Arial"/>
        </w:rPr>
        <w:t xml:space="preserve">prodlevou) </w:t>
      </w:r>
      <w:r w:rsidR="003B2B9A" w:rsidRPr="00180D1B">
        <w:rPr>
          <w:rFonts w:ascii="Arial" w:hAnsi="Arial" w:cs="Arial"/>
        </w:rPr>
        <w:t>země, které se nacházejí na seznam</w:t>
      </w:r>
      <w:r w:rsidR="008A0BB6" w:rsidRPr="00180D1B">
        <w:rPr>
          <w:rFonts w:ascii="Arial" w:hAnsi="Arial" w:cs="Arial"/>
        </w:rPr>
        <w:t>ech</w:t>
      </w:r>
      <w:r w:rsidR="003B2B9A" w:rsidRPr="00180D1B">
        <w:rPr>
          <w:rFonts w:ascii="Arial" w:hAnsi="Arial" w:cs="Arial"/>
        </w:rPr>
        <w:t xml:space="preserve"> FATF </w:t>
      </w:r>
      <w:r w:rsidR="00257C80" w:rsidRPr="00180D1B">
        <w:rPr>
          <w:rFonts w:ascii="Arial" w:hAnsi="Arial" w:cs="Arial"/>
        </w:rPr>
        <w:t>(</w:t>
      </w:r>
      <w:r w:rsidR="003B2B9A" w:rsidRPr="00180D1B">
        <w:rPr>
          <w:rFonts w:ascii="Arial" w:hAnsi="Arial" w:cs="Arial"/>
        </w:rPr>
        <w:t>vyjma členských států EU</w:t>
      </w:r>
      <w:r w:rsidR="00257C80" w:rsidRPr="00180D1B">
        <w:rPr>
          <w:rFonts w:ascii="Arial" w:hAnsi="Arial" w:cs="Arial"/>
        </w:rPr>
        <w:t xml:space="preserve">). Odůvodňuje to </w:t>
      </w:r>
      <w:r w:rsidR="00257C80" w:rsidRPr="00180D1B">
        <w:rPr>
          <w:rStyle w:val="markedcontent"/>
          <w:rFonts w:ascii="Arial" w:hAnsi="Arial" w:cs="Arial"/>
        </w:rPr>
        <w:t>zajištěním integrity globálního finančního systému, kdy je nanejvýš důležité, aby byl seznam třetích zemí stanovený na úrovni Unie v příslušných případech úzce sladěn s</w:t>
      </w:r>
      <w:r w:rsidR="00C605FB" w:rsidRPr="00180D1B">
        <w:rPr>
          <w:rStyle w:val="markedcontent"/>
          <w:rFonts w:ascii="Arial" w:hAnsi="Arial" w:cs="Arial"/>
        </w:rPr>
        <w:t> </w:t>
      </w:r>
      <w:r w:rsidR="00257C80" w:rsidRPr="00180D1B">
        <w:rPr>
          <w:rStyle w:val="markedcontent"/>
          <w:rFonts w:ascii="Arial" w:hAnsi="Arial" w:cs="Arial"/>
        </w:rPr>
        <w:t>uvedenými seznamy schválenými na mezinárodní úrovni.</w:t>
      </w:r>
      <w:r w:rsidR="001E3862" w:rsidRPr="00180D1B">
        <w:rPr>
          <w:rStyle w:val="markedcontent"/>
          <w:rFonts w:ascii="Arial" w:hAnsi="Arial" w:cs="Arial"/>
        </w:rPr>
        <w:t xml:space="preserve"> </w:t>
      </w:r>
    </w:p>
    <w:p w14:paraId="5D97226C" w14:textId="77777777" w:rsidR="00C51940" w:rsidRPr="00180D1B" w:rsidRDefault="00C51940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38C7C85A" w14:textId="125B8F5A" w:rsidR="00257C80" w:rsidRDefault="001E3862" w:rsidP="00B21CA3">
      <w:pPr>
        <w:spacing w:after="0"/>
        <w:jc w:val="both"/>
        <w:rPr>
          <w:rStyle w:val="markedcontent"/>
          <w:rFonts w:ascii="Arial" w:hAnsi="Arial" w:cs="Arial"/>
        </w:rPr>
      </w:pPr>
      <w:r w:rsidRPr="00180D1B">
        <w:rPr>
          <w:rStyle w:val="markedcontent"/>
          <w:rFonts w:ascii="Arial" w:hAnsi="Arial" w:cs="Arial"/>
        </w:rPr>
        <w:t>V praxi to tedy znamená, že vysoce rizikovou třetí zemí jsou vždy země n</w:t>
      </w:r>
      <w:r w:rsidR="00430949" w:rsidRPr="00180D1B">
        <w:rPr>
          <w:rStyle w:val="markedcontent"/>
          <w:rFonts w:ascii="Arial" w:hAnsi="Arial" w:cs="Arial"/>
        </w:rPr>
        <w:t xml:space="preserve">a </w:t>
      </w:r>
      <w:r w:rsidR="00C605FB" w:rsidRPr="00180D1B">
        <w:rPr>
          <w:rStyle w:val="markedcontent"/>
          <w:rFonts w:ascii="Arial" w:hAnsi="Arial" w:cs="Arial"/>
        </w:rPr>
        <w:t>u</w:t>
      </w:r>
      <w:r w:rsidRPr="00180D1B">
        <w:rPr>
          <w:rStyle w:val="markedcontent"/>
          <w:rFonts w:ascii="Arial" w:hAnsi="Arial" w:cs="Arial"/>
        </w:rPr>
        <w:t>nijním seznamu</w:t>
      </w:r>
      <w:r w:rsidR="00430949" w:rsidRPr="00180D1B">
        <w:rPr>
          <w:rStyle w:val="markedcontent"/>
          <w:rFonts w:ascii="Arial" w:hAnsi="Arial" w:cs="Arial"/>
        </w:rPr>
        <w:t xml:space="preserve"> vysoce rizikových třetích zemí a země, které jsou na FATF černém seznamu (vyjma členských států EU).</w:t>
      </w:r>
    </w:p>
    <w:p w14:paraId="2FF47FB5" w14:textId="5045397A" w:rsidR="005E3EFA" w:rsidRDefault="005E3EFA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0ABAE566" w14:textId="77777777" w:rsidR="00970E40" w:rsidRDefault="00970E40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05E371D3" w14:textId="77777777" w:rsidR="000156FA" w:rsidRDefault="000156FA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20275861" w14:textId="3F043D0B" w:rsidR="008C5808" w:rsidRPr="00180D1B" w:rsidRDefault="008C5808" w:rsidP="00180D1B">
      <w:pPr>
        <w:pStyle w:val="Odstavecseseznamem"/>
        <w:numPr>
          <w:ilvl w:val="0"/>
          <w:numId w:val="10"/>
        </w:numPr>
        <w:spacing w:after="0"/>
        <w:ind w:left="993" w:hanging="426"/>
        <w:jc w:val="both"/>
        <w:rPr>
          <w:rFonts w:ascii="Arial" w:hAnsi="Arial" w:cs="Arial"/>
          <w:b/>
          <w:u w:val="single"/>
        </w:rPr>
      </w:pPr>
      <w:r w:rsidRPr="00180D1B">
        <w:rPr>
          <w:rFonts w:ascii="Arial" w:hAnsi="Arial" w:cs="Arial"/>
          <w:b/>
          <w:u w:val="single"/>
        </w:rPr>
        <w:t>Aplikace AML opatření</w:t>
      </w:r>
      <w:r w:rsidR="00283CCC" w:rsidRPr="00180D1B">
        <w:rPr>
          <w:rFonts w:ascii="Arial" w:hAnsi="Arial" w:cs="Arial"/>
          <w:b/>
          <w:u w:val="single"/>
        </w:rPr>
        <w:t xml:space="preserve"> ze strany povinných osob</w:t>
      </w:r>
    </w:p>
    <w:p w14:paraId="2ADD9A58" w14:textId="23C5EC39" w:rsidR="008C5808" w:rsidRDefault="008C5808" w:rsidP="008C5808">
      <w:pPr>
        <w:spacing w:after="0"/>
        <w:jc w:val="both"/>
        <w:rPr>
          <w:rFonts w:ascii="Arial" w:hAnsi="Arial" w:cs="Arial"/>
          <w:b/>
        </w:rPr>
      </w:pPr>
    </w:p>
    <w:p w14:paraId="6FA958EF" w14:textId="10AA161A" w:rsidR="00180D1B" w:rsidRPr="00180D1B" w:rsidRDefault="00180D1B" w:rsidP="007725A8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b/>
        </w:rPr>
      </w:pPr>
      <w:r w:rsidRPr="00180D1B">
        <w:rPr>
          <w:rFonts w:ascii="Arial" w:hAnsi="Arial" w:cs="Arial"/>
          <w:b/>
        </w:rPr>
        <w:t>Vysoce riziková třetí země</w:t>
      </w:r>
    </w:p>
    <w:p w14:paraId="681EA4A1" w14:textId="77777777" w:rsidR="00180D1B" w:rsidRPr="00180D1B" w:rsidRDefault="00180D1B" w:rsidP="00180D1B">
      <w:pPr>
        <w:pStyle w:val="Odstavecseseznamem"/>
        <w:spacing w:after="0"/>
        <w:ind w:left="1080"/>
        <w:jc w:val="both"/>
        <w:rPr>
          <w:rFonts w:ascii="Arial" w:hAnsi="Arial" w:cs="Arial"/>
          <w:b/>
        </w:rPr>
      </w:pPr>
    </w:p>
    <w:p w14:paraId="6EAEE1C8" w14:textId="4D3B1BE1" w:rsidR="00BE0EA2" w:rsidRPr="00180D1B" w:rsidRDefault="00BE0EA2" w:rsidP="00180D1B">
      <w:pPr>
        <w:spacing w:after="0"/>
        <w:jc w:val="both"/>
        <w:rPr>
          <w:rFonts w:ascii="Arial" w:hAnsi="Arial" w:cs="Arial"/>
          <w:b/>
        </w:rPr>
      </w:pPr>
      <w:r w:rsidRPr="00180D1B">
        <w:rPr>
          <w:rFonts w:ascii="Arial" w:hAnsi="Arial" w:cs="Arial"/>
        </w:rPr>
        <w:t xml:space="preserve">Pokud je </w:t>
      </w:r>
      <w:r w:rsidRPr="00180D1B">
        <w:rPr>
          <w:rFonts w:ascii="Arial" w:hAnsi="Arial" w:cs="Arial"/>
          <w:b/>
        </w:rPr>
        <w:t>jurisdikce označena jako vysoce riziková třetí země</w:t>
      </w:r>
      <w:r w:rsidRPr="00180D1B">
        <w:rPr>
          <w:rFonts w:ascii="Arial" w:hAnsi="Arial" w:cs="Arial"/>
        </w:rPr>
        <w:t xml:space="preserve"> pak </w:t>
      </w:r>
      <w:r w:rsidRPr="00180D1B">
        <w:rPr>
          <w:rFonts w:ascii="Arial" w:hAnsi="Arial" w:cs="Arial"/>
          <w:b/>
        </w:rPr>
        <w:t>povinná osoba</w:t>
      </w:r>
      <w:r w:rsidRPr="00180D1B">
        <w:rPr>
          <w:rFonts w:ascii="Arial" w:hAnsi="Arial" w:cs="Arial"/>
        </w:rPr>
        <w:t xml:space="preserve"> </w:t>
      </w:r>
      <w:r w:rsidR="00D53929" w:rsidRPr="00180D1B">
        <w:rPr>
          <w:rFonts w:ascii="Arial" w:hAnsi="Arial" w:cs="Arial"/>
          <w:b/>
        </w:rPr>
        <w:t>musí</w:t>
      </w:r>
      <w:r w:rsidR="00D53929" w:rsidRPr="00180D1B">
        <w:rPr>
          <w:rFonts w:ascii="Arial" w:hAnsi="Arial" w:cs="Arial"/>
        </w:rPr>
        <w:t xml:space="preserve"> </w:t>
      </w:r>
      <w:r w:rsidR="00D53929" w:rsidRPr="00180D1B">
        <w:rPr>
          <w:rFonts w:ascii="Arial" w:hAnsi="Arial" w:cs="Arial"/>
          <w:b/>
        </w:rPr>
        <w:t xml:space="preserve">vždy </w:t>
      </w:r>
      <w:r w:rsidRPr="00180D1B">
        <w:rPr>
          <w:rFonts w:ascii="Arial" w:hAnsi="Arial" w:cs="Arial"/>
        </w:rPr>
        <w:t xml:space="preserve">dle § 9a odst. 2 písm. a) a b) AML zákona </w:t>
      </w:r>
      <w:r w:rsidRPr="00180D1B">
        <w:rPr>
          <w:rFonts w:ascii="Arial" w:hAnsi="Arial" w:cs="Arial"/>
          <w:b/>
        </w:rPr>
        <w:t xml:space="preserve">uplatnit zesílenou identifikaci a kontrolu klienta </w:t>
      </w:r>
    </w:p>
    <w:p w14:paraId="740D09AD" w14:textId="3FD39F9A" w:rsidR="00BE0EA2" w:rsidRPr="00180D1B" w:rsidRDefault="00BE0EA2" w:rsidP="001103BD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180D1B">
        <w:rPr>
          <w:rFonts w:ascii="Arial" w:hAnsi="Arial" w:cs="Arial"/>
          <w:b/>
        </w:rPr>
        <w:t>při vzniku a v průběhu obchodního vztahu s osobou usazenou ve vysoce rizikové třetí zemi</w:t>
      </w:r>
    </w:p>
    <w:p w14:paraId="76B09250" w14:textId="0576F387" w:rsidR="00912E1A" w:rsidRPr="00180D1B" w:rsidRDefault="00BE0EA2" w:rsidP="00912E1A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  <w:b/>
        </w:rPr>
      </w:pPr>
      <w:r w:rsidRPr="00180D1B">
        <w:rPr>
          <w:rFonts w:ascii="Arial" w:hAnsi="Arial" w:cs="Arial"/>
          <w:b/>
        </w:rPr>
        <w:t>před uskutečněním obchodu souvisejícího s vysoce rizikovou třetí zemí</w:t>
      </w:r>
      <w:r w:rsidR="001103BD" w:rsidRPr="00180D1B">
        <w:rPr>
          <w:rFonts w:ascii="Arial" w:hAnsi="Arial" w:cs="Arial"/>
          <w:b/>
        </w:rPr>
        <w:t>.</w:t>
      </w:r>
    </w:p>
    <w:p w14:paraId="3F692389" w14:textId="77777777" w:rsidR="00180D1B" w:rsidRPr="00180D1B" w:rsidRDefault="00180D1B" w:rsidP="00180D1B">
      <w:pPr>
        <w:pStyle w:val="Odstavecseseznamem"/>
        <w:spacing w:after="0"/>
        <w:jc w:val="both"/>
        <w:rPr>
          <w:rFonts w:ascii="Arial" w:hAnsi="Arial" w:cs="Arial"/>
          <w:b/>
        </w:rPr>
      </w:pPr>
    </w:p>
    <w:p w14:paraId="3543D637" w14:textId="77777777" w:rsidR="00BE0EA2" w:rsidRPr="00180D1B" w:rsidRDefault="00BE0EA2" w:rsidP="008C5808">
      <w:pPr>
        <w:spacing w:after="0"/>
        <w:jc w:val="both"/>
        <w:rPr>
          <w:rFonts w:ascii="Arial" w:hAnsi="Arial" w:cs="Arial"/>
        </w:rPr>
      </w:pPr>
    </w:p>
    <w:p w14:paraId="78C13EF5" w14:textId="24A8FA2C" w:rsidR="00180D1B" w:rsidRPr="00180D1B" w:rsidRDefault="00180D1B" w:rsidP="007725A8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180D1B">
        <w:rPr>
          <w:rFonts w:ascii="Arial" w:hAnsi="Arial" w:cs="Arial"/>
          <w:b/>
        </w:rPr>
        <w:t>Jurisdikce není vysoce rizikovou třetí zemí</w:t>
      </w:r>
    </w:p>
    <w:p w14:paraId="410F5D31" w14:textId="77777777" w:rsidR="00180D1B" w:rsidRDefault="00180D1B" w:rsidP="00180D1B">
      <w:pPr>
        <w:spacing w:after="0"/>
        <w:jc w:val="both"/>
        <w:rPr>
          <w:rFonts w:ascii="Arial" w:hAnsi="Arial" w:cs="Arial"/>
        </w:rPr>
      </w:pPr>
    </w:p>
    <w:p w14:paraId="767B25B1" w14:textId="281F47E0" w:rsidR="00283CCC" w:rsidRPr="00180D1B" w:rsidRDefault="001103BD" w:rsidP="00180D1B">
      <w:pPr>
        <w:spacing w:after="0"/>
        <w:jc w:val="both"/>
        <w:rPr>
          <w:rFonts w:ascii="Arial" w:hAnsi="Arial" w:cs="Arial"/>
        </w:rPr>
      </w:pPr>
      <w:r w:rsidRPr="00180D1B">
        <w:rPr>
          <w:rFonts w:ascii="Arial" w:hAnsi="Arial" w:cs="Arial"/>
        </w:rPr>
        <w:t xml:space="preserve">Pokud </w:t>
      </w:r>
      <w:r w:rsidRPr="00180D1B">
        <w:rPr>
          <w:rFonts w:ascii="Arial" w:hAnsi="Arial" w:cs="Arial"/>
          <w:b/>
        </w:rPr>
        <w:t>jurisdikce nespadá pod pojem vysoce riziková třetí země</w:t>
      </w:r>
      <w:r w:rsidRPr="00180D1B">
        <w:rPr>
          <w:rFonts w:ascii="Arial" w:hAnsi="Arial" w:cs="Arial"/>
        </w:rPr>
        <w:t xml:space="preserve">, ale jsou u ní zjištěny strategické AML/CFT nedostatky (jedná se o členský stát EU na šedém seznamu FATF nebo jurisdikci na šedém seznamu FATF, která nebyla doposud zařazena na </w:t>
      </w:r>
      <w:r w:rsidRPr="00180D1B">
        <w:rPr>
          <w:rFonts w:ascii="Arial" w:eastAsia="Times New Roman" w:hAnsi="Arial" w:cs="Arial"/>
        </w:rPr>
        <w:t>unijní seznam vysoce rizikových třetích zemí</w:t>
      </w:r>
      <w:r w:rsidRPr="00180D1B">
        <w:rPr>
          <w:rFonts w:ascii="Arial" w:hAnsi="Arial" w:cs="Arial"/>
        </w:rPr>
        <w:t xml:space="preserve">) </w:t>
      </w:r>
      <w:r w:rsidR="00912E1A" w:rsidRPr="00180D1B">
        <w:rPr>
          <w:rFonts w:ascii="Arial" w:hAnsi="Arial" w:cs="Arial"/>
        </w:rPr>
        <w:t xml:space="preserve">jde ve spojení s takovou zemí o </w:t>
      </w:r>
      <w:r w:rsidR="00912E1A" w:rsidRPr="00180D1B">
        <w:rPr>
          <w:rFonts w:ascii="Arial" w:hAnsi="Arial" w:cs="Arial"/>
          <w:b/>
        </w:rPr>
        <w:t>rizikový faktor</w:t>
      </w:r>
      <w:r w:rsidR="00912E1A" w:rsidRPr="00180D1B">
        <w:rPr>
          <w:rFonts w:ascii="Arial" w:hAnsi="Arial" w:cs="Arial"/>
        </w:rPr>
        <w:t xml:space="preserve"> nebo může jít </w:t>
      </w:r>
      <w:r w:rsidR="009712F9" w:rsidRPr="00180D1B">
        <w:rPr>
          <w:rFonts w:ascii="Arial" w:hAnsi="Arial" w:cs="Arial"/>
        </w:rPr>
        <w:t xml:space="preserve">za stanovených podmínek </w:t>
      </w:r>
      <w:r w:rsidR="00B64D5A">
        <w:rPr>
          <w:rFonts w:ascii="Arial" w:hAnsi="Arial" w:cs="Arial"/>
        </w:rPr>
        <w:t>o znak podezřelého obchodu (</w:t>
      </w:r>
      <w:r w:rsidR="00912E1A" w:rsidRPr="00180D1B">
        <w:rPr>
          <w:rFonts w:ascii="Arial" w:hAnsi="Arial" w:cs="Arial"/>
        </w:rPr>
        <w:t>obdobně jako u vysoce rizikových třetích zemí</w:t>
      </w:r>
      <w:r w:rsidR="00B64D5A">
        <w:rPr>
          <w:rFonts w:ascii="Arial" w:hAnsi="Arial" w:cs="Arial"/>
        </w:rPr>
        <w:t>)</w:t>
      </w:r>
      <w:r w:rsidR="00912E1A" w:rsidRPr="00180D1B">
        <w:rPr>
          <w:rFonts w:ascii="Arial" w:hAnsi="Arial" w:cs="Arial"/>
        </w:rPr>
        <w:t>, což vyplývá z níže uvedených ustanovení AML zákona.</w:t>
      </w:r>
    </w:p>
    <w:p w14:paraId="7461C5EF" w14:textId="406FE4C7" w:rsidR="000156FA" w:rsidRPr="00155B0B" w:rsidRDefault="000156FA" w:rsidP="00B64D5A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 w:rsidRPr="00D53929">
        <w:rPr>
          <w:rFonts w:ascii="Arial" w:hAnsi="Arial" w:cs="Arial"/>
          <w:b/>
        </w:rPr>
        <w:t>Rizikový faktor:</w:t>
      </w:r>
      <w:r w:rsidRPr="00D53929">
        <w:rPr>
          <w:rFonts w:ascii="Arial" w:hAnsi="Arial" w:cs="Arial"/>
        </w:rPr>
        <w:t xml:space="preserve"> </w:t>
      </w:r>
      <w:r w:rsidR="008C5808" w:rsidRPr="00D53929">
        <w:rPr>
          <w:rFonts w:ascii="Arial" w:hAnsi="Arial" w:cs="Arial"/>
        </w:rPr>
        <w:t xml:space="preserve">Příloha č. 2 AML zákona zakotvuje demonstrativní výčet faktorů možného zvýšeného rizika podle § 21a odst. 1 a § 30a odst. 2 AML zákona, přičemž jako faktor zeměpisného rizika jsou označeny v bodě 3 písm. a) země, které byly orgány EU nebo mezinárodními institucemi, zabývajícími se opatřeními proti legalizaci výnosů z trestné činnosti, financování terorismu nebo šíření zbraní hromadného ničení označeny jako země, které nemají účinné systémy pro boj proti praní peněz a financování terorismu, nebo se podílí na nelegálním šíření zbraní hromadného ničení. </w:t>
      </w:r>
    </w:p>
    <w:p w14:paraId="441BA2D7" w14:textId="00D6042C" w:rsidR="000156FA" w:rsidRPr="00D53929" w:rsidRDefault="000156FA" w:rsidP="00B64D5A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</w:rPr>
      </w:pPr>
      <w:r w:rsidRPr="00D53929">
        <w:rPr>
          <w:rFonts w:ascii="Arial" w:hAnsi="Arial" w:cs="Arial"/>
          <w:b/>
        </w:rPr>
        <w:t>Znak podezřelého obchodu:</w:t>
      </w:r>
      <w:r w:rsidRPr="00D53929">
        <w:rPr>
          <w:rFonts w:ascii="Arial" w:hAnsi="Arial" w:cs="Arial"/>
        </w:rPr>
        <w:t xml:space="preserve">  Fakultativním znakem podezřelého obchodu je mimo jiné dle § 6 odst. 1 písm.  h) AML zákona skutečnost, že klient nebo skutečný majitel je osoba ze státu, který nedostatečně</w:t>
      </w:r>
      <w:r w:rsidR="00C03BC2">
        <w:rPr>
          <w:rFonts w:ascii="Arial" w:hAnsi="Arial" w:cs="Arial"/>
        </w:rPr>
        <w:t xml:space="preserve"> nebo vůbec</w:t>
      </w:r>
      <w:r w:rsidRPr="00D53929">
        <w:rPr>
          <w:rFonts w:ascii="Arial" w:hAnsi="Arial" w:cs="Arial"/>
        </w:rPr>
        <w:t xml:space="preserve"> </w:t>
      </w:r>
      <w:r w:rsidR="00C03BC2">
        <w:rPr>
          <w:rFonts w:ascii="Arial" w:hAnsi="Arial" w:cs="Arial"/>
        </w:rPr>
        <w:t>ne</w:t>
      </w:r>
      <w:r w:rsidRPr="00D53929">
        <w:rPr>
          <w:rFonts w:ascii="Arial" w:hAnsi="Arial" w:cs="Arial"/>
        </w:rPr>
        <w:t xml:space="preserve">uplatňuje opatření proti legalizaci výnosů z trestné činnosti a financování terorismu. </w:t>
      </w:r>
    </w:p>
    <w:p w14:paraId="16991B9D" w14:textId="2EEC8FD5" w:rsidR="00155B0B" w:rsidRDefault="00D53929" w:rsidP="00B21CA3">
      <w:pPr>
        <w:spacing w:after="0"/>
        <w:jc w:val="both"/>
        <w:rPr>
          <w:rFonts w:ascii="Arial" w:hAnsi="Arial" w:cs="Arial"/>
        </w:rPr>
      </w:pPr>
      <w:r w:rsidRPr="009712F9">
        <w:rPr>
          <w:rFonts w:ascii="Arial" w:hAnsi="Arial" w:cs="Arial"/>
          <w:b/>
        </w:rPr>
        <w:t xml:space="preserve">Povinná osoba však u těchto zemí </w:t>
      </w:r>
      <w:r w:rsidR="007725A8" w:rsidRPr="009712F9">
        <w:rPr>
          <w:rFonts w:ascii="Arial" w:hAnsi="Arial" w:cs="Arial"/>
          <w:b/>
        </w:rPr>
        <w:t xml:space="preserve">není </w:t>
      </w:r>
      <w:r w:rsidRPr="009712F9">
        <w:rPr>
          <w:rFonts w:ascii="Arial" w:hAnsi="Arial" w:cs="Arial"/>
          <w:b/>
        </w:rPr>
        <w:t>povinna aplikovat zesílenou identifikaci a kontrolu klienta.</w:t>
      </w:r>
      <w:r>
        <w:rPr>
          <w:rFonts w:ascii="Arial" w:hAnsi="Arial" w:cs="Arial"/>
        </w:rPr>
        <w:t xml:space="preserve"> </w:t>
      </w:r>
    </w:p>
    <w:p w14:paraId="43640B44" w14:textId="4D171754" w:rsidR="00155B0B" w:rsidRDefault="00155B0B" w:rsidP="00B21CA3">
      <w:pPr>
        <w:spacing w:after="0"/>
        <w:jc w:val="both"/>
        <w:rPr>
          <w:rFonts w:ascii="Arial" w:hAnsi="Arial" w:cs="Arial"/>
        </w:rPr>
      </w:pPr>
    </w:p>
    <w:p w14:paraId="09E6C0B8" w14:textId="77777777" w:rsidR="007725A8" w:rsidRDefault="007725A8" w:rsidP="00B21CA3">
      <w:pPr>
        <w:spacing w:after="0"/>
        <w:jc w:val="both"/>
        <w:rPr>
          <w:rFonts w:ascii="Arial" w:hAnsi="Arial" w:cs="Arial"/>
        </w:rPr>
      </w:pPr>
    </w:p>
    <w:p w14:paraId="067B82E0" w14:textId="4944A34C" w:rsidR="00180D1B" w:rsidRPr="007725A8" w:rsidRDefault="00954E2B" w:rsidP="007725A8">
      <w:pPr>
        <w:pStyle w:val="Odstavecseseznamem"/>
        <w:numPr>
          <w:ilvl w:val="0"/>
          <w:numId w:val="19"/>
        </w:numPr>
        <w:spacing w:after="0"/>
        <w:ind w:left="426" w:hanging="426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b/>
        </w:rPr>
        <w:lastRenderedPageBreak/>
        <w:t>Výjimky</w:t>
      </w:r>
      <w:r w:rsidR="00A23FD9">
        <w:rPr>
          <w:rStyle w:val="markedcontent"/>
          <w:rFonts w:ascii="Arial" w:hAnsi="Arial" w:cs="Arial"/>
          <w:b/>
        </w:rPr>
        <w:t xml:space="preserve">: Vznik </w:t>
      </w:r>
      <w:r w:rsidR="00970E40">
        <w:rPr>
          <w:rStyle w:val="markedcontent"/>
          <w:rFonts w:ascii="Arial" w:hAnsi="Arial" w:cs="Arial"/>
          <w:b/>
        </w:rPr>
        <w:t>p</w:t>
      </w:r>
      <w:r>
        <w:rPr>
          <w:rStyle w:val="markedcontent"/>
          <w:rFonts w:ascii="Arial" w:hAnsi="Arial" w:cs="Arial"/>
          <w:b/>
        </w:rPr>
        <w:t>ovinnost</w:t>
      </w:r>
      <w:r w:rsidR="00A23FD9">
        <w:rPr>
          <w:rStyle w:val="markedcontent"/>
          <w:rFonts w:ascii="Arial" w:hAnsi="Arial" w:cs="Arial"/>
          <w:b/>
        </w:rPr>
        <w:t>i provést zesílenou identifikaci a kontrolu</w:t>
      </w:r>
      <w:r>
        <w:rPr>
          <w:rStyle w:val="markedcontent"/>
          <w:rFonts w:ascii="Arial" w:hAnsi="Arial" w:cs="Arial"/>
          <w:b/>
        </w:rPr>
        <w:t xml:space="preserve"> klienta </w:t>
      </w:r>
      <w:r w:rsidR="00A23FD9">
        <w:rPr>
          <w:rStyle w:val="markedcontent"/>
          <w:rFonts w:ascii="Arial" w:hAnsi="Arial" w:cs="Arial"/>
          <w:b/>
        </w:rPr>
        <w:t>u </w:t>
      </w:r>
      <w:r w:rsidR="00970E40">
        <w:rPr>
          <w:rStyle w:val="markedcontent"/>
          <w:rFonts w:ascii="Arial" w:hAnsi="Arial" w:cs="Arial"/>
          <w:b/>
        </w:rPr>
        <w:t>jurisdikce</w:t>
      </w:r>
      <w:r>
        <w:rPr>
          <w:rStyle w:val="markedcontent"/>
          <w:rFonts w:ascii="Arial" w:hAnsi="Arial" w:cs="Arial"/>
          <w:b/>
        </w:rPr>
        <w:t>, která není vysoce rizikovou třetí zemí</w:t>
      </w:r>
    </w:p>
    <w:p w14:paraId="0FFE6BA7" w14:textId="77777777" w:rsidR="007725A8" w:rsidRDefault="007725A8" w:rsidP="007725A8">
      <w:pPr>
        <w:pStyle w:val="Odstavecseseznamem"/>
        <w:spacing w:after="0"/>
        <w:ind w:left="426"/>
        <w:jc w:val="both"/>
        <w:rPr>
          <w:rFonts w:ascii="Arial" w:hAnsi="Arial" w:cs="Arial"/>
        </w:rPr>
      </w:pPr>
    </w:p>
    <w:p w14:paraId="02EBC6D1" w14:textId="77777777" w:rsidR="00970E40" w:rsidRPr="00970E40" w:rsidRDefault="00970E40" w:rsidP="00970E40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b/>
        </w:rPr>
      </w:pPr>
      <w:r w:rsidRPr="00970E40">
        <w:rPr>
          <w:rFonts w:ascii="Arial" w:hAnsi="Arial" w:cs="Arial"/>
          <w:b/>
        </w:rPr>
        <w:t>Hodnocení rizik povinné osoby</w:t>
      </w:r>
    </w:p>
    <w:p w14:paraId="7D06BE73" w14:textId="622C4846" w:rsidR="00970E40" w:rsidRDefault="00C56F87" w:rsidP="00970E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70E40">
        <w:rPr>
          <w:rFonts w:ascii="Arial" w:hAnsi="Arial" w:cs="Arial"/>
        </w:rPr>
        <w:t>okud z</w:t>
      </w:r>
      <w:r>
        <w:rPr>
          <w:rFonts w:ascii="Arial" w:hAnsi="Arial" w:cs="Arial"/>
        </w:rPr>
        <w:t xml:space="preserve"> vlastního</w:t>
      </w:r>
      <w:r w:rsidRPr="00970E40">
        <w:rPr>
          <w:rFonts w:ascii="Arial" w:hAnsi="Arial" w:cs="Arial"/>
        </w:rPr>
        <w:t xml:space="preserve"> hodnocení rizik povinné osoby podle § 21a </w:t>
      </w:r>
      <w:r>
        <w:rPr>
          <w:rFonts w:ascii="Arial" w:hAnsi="Arial" w:cs="Arial"/>
        </w:rPr>
        <w:t>AML zákona vyplývá, že</w:t>
      </w:r>
      <w:r w:rsidRPr="00970E40">
        <w:rPr>
          <w:rFonts w:ascii="Arial" w:hAnsi="Arial" w:cs="Arial"/>
        </w:rPr>
        <w:t xml:space="preserve"> klient, obchod nebo obchodní vztah představuje zvýšené riziko legalizace výnosů z trestné činn</w:t>
      </w:r>
      <w:r>
        <w:rPr>
          <w:rFonts w:ascii="Arial" w:hAnsi="Arial" w:cs="Arial"/>
        </w:rPr>
        <w:t xml:space="preserve">osti nebo financování terorismu při vazbě na jurisdikci, která má </w:t>
      </w:r>
      <w:r w:rsidRPr="00180D1B">
        <w:rPr>
          <w:rFonts w:ascii="Arial" w:hAnsi="Arial" w:cs="Arial"/>
        </w:rPr>
        <w:t>strategické AML/CFT nedostatky</w:t>
      </w:r>
      <w:r>
        <w:rPr>
          <w:rFonts w:ascii="Arial" w:hAnsi="Arial" w:cs="Arial"/>
        </w:rPr>
        <w:t>, pak v souladu</w:t>
      </w:r>
      <w:r w:rsidRPr="00970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D53929" w:rsidRPr="00970E40">
        <w:rPr>
          <w:rFonts w:ascii="Arial" w:hAnsi="Arial" w:cs="Arial"/>
        </w:rPr>
        <w:t xml:space="preserve"> § 9a odst. 1 AML zákona </w:t>
      </w:r>
      <w:r w:rsidR="00A23FD9">
        <w:rPr>
          <w:rFonts w:ascii="Arial" w:hAnsi="Arial" w:cs="Arial"/>
        </w:rPr>
        <w:t xml:space="preserve">vzniká </w:t>
      </w:r>
      <w:r>
        <w:rPr>
          <w:rFonts w:ascii="Arial" w:hAnsi="Arial" w:cs="Arial"/>
        </w:rPr>
        <w:t xml:space="preserve">povinnost provést v takových případech zesílenou identifikaci a kontrolu klienta. </w:t>
      </w:r>
    </w:p>
    <w:p w14:paraId="7922AE66" w14:textId="77777777" w:rsidR="00C56F87" w:rsidRPr="00970E40" w:rsidRDefault="00C56F87" w:rsidP="00970E40">
      <w:pPr>
        <w:spacing w:after="0"/>
        <w:jc w:val="both"/>
        <w:rPr>
          <w:rFonts w:ascii="Arial" w:hAnsi="Arial" w:cs="Arial"/>
        </w:rPr>
      </w:pPr>
    </w:p>
    <w:p w14:paraId="0C12CD80" w14:textId="50010C22" w:rsidR="00954E2B" w:rsidRPr="00954E2B" w:rsidRDefault="00970E40" w:rsidP="00970E40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180D1B">
        <w:rPr>
          <w:rStyle w:val="markedcontent"/>
          <w:rFonts w:ascii="Arial" w:hAnsi="Arial" w:cs="Arial"/>
          <w:b/>
        </w:rPr>
        <w:t xml:space="preserve">Povinné osoby, které </w:t>
      </w:r>
      <w:r>
        <w:rPr>
          <w:rStyle w:val="markedcontent"/>
          <w:rFonts w:ascii="Arial" w:hAnsi="Arial" w:cs="Arial"/>
          <w:b/>
        </w:rPr>
        <w:t xml:space="preserve">podléhají </w:t>
      </w:r>
      <w:r w:rsidRPr="00180D1B">
        <w:rPr>
          <w:rStyle w:val="markedcontent"/>
          <w:rFonts w:ascii="Arial" w:hAnsi="Arial" w:cs="Arial"/>
          <w:b/>
        </w:rPr>
        <w:t>dohled</w:t>
      </w:r>
      <w:r>
        <w:rPr>
          <w:rStyle w:val="markedcontent"/>
          <w:rFonts w:ascii="Arial" w:hAnsi="Arial" w:cs="Arial"/>
          <w:b/>
        </w:rPr>
        <w:t>u</w:t>
      </w:r>
      <w:r w:rsidRPr="00180D1B">
        <w:rPr>
          <w:rStyle w:val="markedcontent"/>
          <w:rFonts w:ascii="Arial" w:hAnsi="Arial" w:cs="Arial"/>
          <w:b/>
        </w:rPr>
        <w:t xml:space="preserve"> České národní banky</w:t>
      </w:r>
    </w:p>
    <w:p w14:paraId="680E537D" w14:textId="4C7B4B00" w:rsidR="005E3EFA" w:rsidRPr="00970E40" w:rsidRDefault="00231F25" w:rsidP="00970E40">
      <w:pPr>
        <w:spacing w:after="0"/>
        <w:jc w:val="both"/>
        <w:rPr>
          <w:rStyle w:val="markedcontent"/>
          <w:rFonts w:ascii="Arial" w:hAnsi="Arial" w:cs="Arial"/>
        </w:rPr>
      </w:pPr>
      <w:r w:rsidRPr="00C56F87">
        <w:rPr>
          <w:rStyle w:val="markedcontent"/>
          <w:rFonts w:ascii="Arial" w:hAnsi="Arial" w:cs="Arial"/>
        </w:rPr>
        <w:t xml:space="preserve">Povinné osoby, které </w:t>
      </w:r>
      <w:r w:rsidR="00C56F87">
        <w:rPr>
          <w:rStyle w:val="markedcontent"/>
          <w:rFonts w:ascii="Arial" w:hAnsi="Arial" w:cs="Arial"/>
        </w:rPr>
        <w:t>podléhají</w:t>
      </w:r>
      <w:r w:rsidRPr="00C56F87">
        <w:rPr>
          <w:rStyle w:val="markedcontent"/>
          <w:rFonts w:ascii="Arial" w:hAnsi="Arial" w:cs="Arial"/>
        </w:rPr>
        <w:t xml:space="preserve"> dohled</w:t>
      </w:r>
      <w:r w:rsidR="00C56F87">
        <w:rPr>
          <w:rStyle w:val="markedcontent"/>
          <w:rFonts w:ascii="Arial" w:hAnsi="Arial" w:cs="Arial"/>
        </w:rPr>
        <w:t>u</w:t>
      </w:r>
      <w:r w:rsidRPr="00C56F87">
        <w:rPr>
          <w:rStyle w:val="markedcontent"/>
          <w:rFonts w:ascii="Arial" w:hAnsi="Arial" w:cs="Arial"/>
        </w:rPr>
        <w:t xml:space="preserve"> České národní banky</w:t>
      </w:r>
      <w:r w:rsidR="00C56F87">
        <w:rPr>
          <w:rStyle w:val="markedcontent"/>
          <w:rFonts w:ascii="Arial" w:hAnsi="Arial" w:cs="Arial"/>
        </w:rPr>
        <w:t xml:space="preserve"> a z </w:t>
      </w:r>
      <w:r w:rsidR="00155B0B" w:rsidRPr="00970E40">
        <w:rPr>
          <w:rStyle w:val="markedcontent"/>
          <w:rFonts w:ascii="Arial" w:hAnsi="Arial" w:cs="Arial"/>
        </w:rPr>
        <w:t xml:space="preserve">AML </w:t>
      </w:r>
      <w:r w:rsidR="00C56F87">
        <w:rPr>
          <w:rStyle w:val="markedcontent"/>
          <w:rFonts w:ascii="Arial" w:hAnsi="Arial" w:cs="Arial"/>
        </w:rPr>
        <w:t>zákona jim vyplývá povinnost vypracovat systém vnitřních zásad</w:t>
      </w:r>
      <w:r w:rsidR="00A23FD9">
        <w:rPr>
          <w:rStyle w:val="markedcontent"/>
          <w:rFonts w:ascii="Arial" w:hAnsi="Arial" w:cs="Arial"/>
        </w:rPr>
        <w:t>, se musí řídit podzákonný právním předpisem,</w:t>
      </w:r>
      <w:r w:rsidR="00155B0B" w:rsidRPr="00970E40">
        <w:rPr>
          <w:rStyle w:val="markedcontent"/>
          <w:rFonts w:ascii="Arial" w:hAnsi="Arial" w:cs="Arial"/>
        </w:rPr>
        <w:t xml:space="preserve"> který provádí AML zákon, a to </w:t>
      </w:r>
      <w:r w:rsidRPr="00970E40">
        <w:rPr>
          <w:rStyle w:val="markedcontent"/>
          <w:rFonts w:ascii="Arial" w:hAnsi="Arial" w:cs="Arial"/>
        </w:rPr>
        <w:t>Vyhláškou č.</w:t>
      </w:r>
      <w:r w:rsidR="00D53929" w:rsidRPr="00970E40">
        <w:rPr>
          <w:rStyle w:val="markedcontent"/>
          <w:rFonts w:ascii="Arial" w:hAnsi="Arial" w:cs="Arial"/>
        </w:rPr>
        <w:t> </w:t>
      </w:r>
      <w:r w:rsidRPr="00970E40">
        <w:rPr>
          <w:rStyle w:val="markedcontent"/>
          <w:rFonts w:ascii="Arial" w:hAnsi="Arial" w:cs="Arial"/>
        </w:rPr>
        <w:t xml:space="preserve">67/2018 Sb., o některých požadavcích na systém vnitřních zásad, postupů a kontrolních opatření proti legalizaci výnosů z trestné činnosti a financování terorismu, ve znění pozdějších změn (dále jen </w:t>
      </w:r>
      <w:r w:rsidRPr="00970E40">
        <w:rPr>
          <w:rStyle w:val="markedcontent"/>
          <w:rFonts w:ascii="Arial" w:hAnsi="Arial" w:cs="Arial"/>
          <w:i/>
        </w:rPr>
        <w:t>„AML vyhláška“</w:t>
      </w:r>
      <w:r w:rsidRPr="00970E40">
        <w:rPr>
          <w:rStyle w:val="markedcontent"/>
          <w:rFonts w:ascii="Arial" w:hAnsi="Arial" w:cs="Arial"/>
        </w:rPr>
        <w:t>)</w:t>
      </w:r>
      <w:r w:rsidR="00D53929" w:rsidRPr="00970E40">
        <w:rPr>
          <w:rStyle w:val="markedcontent"/>
          <w:rFonts w:ascii="Arial" w:hAnsi="Arial" w:cs="Arial"/>
        </w:rPr>
        <w:t>. V této souvislosti FAÚ upozorňuje na ustanovení § 9 odst. 3 písm. a) a odst. 4 AML vyhlášky</w:t>
      </w:r>
      <w:r w:rsidR="00147DC5" w:rsidRPr="00970E40">
        <w:rPr>
          <w:rFonts w:ascii="Arial" w:hAnsi="Arial" w:cs="Arial"/>
        </w:rPr>
        <w:t xml:space="preserve"> (s vazbou na § 9a odst. 1 AML zákona)</w:t>
      </w:r>
      <w:r w:rsidR="00D53929" w:rsidRPr="00970E40">
        <w:rPr>
          <w:rStyle w:val="markedcontent"/>
          <w:rFonts w:ascii="Arial" w:hAnsi="Arial" w:cs="Arial"/>
        </w:rPr>
        <w:t xml:space="preserve">, podle nichž </w:t>
      </w:r>
      <w:r w:rsidR="00155B0B" w:rsidRPr="00970E40">
        <w:rPr>
          <w:rStyle w:val="markedcontent"/>
          <w:rFonts w:ascii="Arial" w:hAnsi="Arial" w:cs="Arial"/>
        </w:rPr>
        <w:t xml:space="preserve"> těmto povinným osobám vznikne</w:t>
      </w:r>
      <w:r w:rsidR="00D53929" w:rsidRPr="00970E40">
        <w:rPr>
          <w:rStyle w:val="markedcontent"/>
          <w:rFonts w:ascii="Arial" w:hAnsi="Arial" w:cs="Arial"/>
        </w:rPr>
        <w:t xml:space="preserve"> </w:t>
      </w:r>
      <w:r w:rsidR="00D53929" w:rsidRPr="00970E40">
        <w:rPr>
          <w:rStyle w:val="markedcontent"/>
          <w:rFonts w:ascii="Arial" w:hAnsi="Arial" w:cs="Arial"/>
          <w:b/>
        </w:rPr>
        <w:t xml:space="preserve">povinnost </w:t>
      </w:r>
      <w:r w:rsidR="00155B0B" w:rsidRPr="00970E40">
        <w:rPr>
          <w:rStyle w:val="markedcontent"/>
          <w:rFonts w:ascii="Arial" w:hAnsi="Arial" w:cs="Arial"/>
          <w:b/>
        </w:rPr>
        <w:t>aplikace zesílené identifikace a kontroly klienta i u</w:t>
      </w:r>
      <w:r w:rsidR="00D53929" w:rsidRPr="00970E40">
        <w:rPr>
          <w:rStyle w:val="markedcontent"/>
          <w:rFonts w:ascii="Arial" w:hAnsi="Arial" w:cs="Arial"/>
          <w:b/>
        </w:rPr>
        <w:t xml:space="preserve"> </w:t>
      </w:r>
      <w:r w:rsidR="00155B0B" w:rsidRPr="00970E40">
        <w:rPr>
          <w:rFonts w:ascii="Arial" w:hAnsi="Arial" w:cs="Arial"/>
          <w:b/>
        </w:rPr>
        <w:t>jurisdikce, která má strategické AML/CFT nedostatky a nespadá pod pojem vysoce riziková třetí země</w:t>
      </w:r>
      <w:r w:rsidR="00155B0B" w:rsidRPr="00970E40">
        <w:rPr>
          <w:rFonts w:ascii="Arial" w:hAnsi="Arial" w:cs="Arial"/>
        </w:rPr>
        <w:t xml:space="preserve">. </w:t>
      </w:r>
    </w:p>
    <w:p w14:paraId="5C9D8D9B" w14:textId="234E59E3" w:rsidR="005E3EFA" w:rsidRDefault="005E3EFA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0FDB267F" w14:textId="0C31BDFD" w:rsidR="005E3EFA" w:rsidRDefault="005E3EFA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6B524C61" w14:textId="450F5B94" w:rsidR="00A23FD9" w:rsidRDefault="00A23FD9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79391301" w14:textId="1D9B1031" w:rsidR="00A23FD9" w:rsidRDefault="00A23FD9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60C8E0F8" w14:textId="77777777" w:rsidR="00A23FD9" w:rsidRDefault="00A23FD9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41F9AFD0" w14:textId="77777777" w:rsidR="005E3EFA" w:rsidRDefault="005E3EFA" w:rsidP="00B21CA3">
      <w:pPr>
        <w:spacing w:after="0"/>
        <w:jc w:val="both"/>
        <w:rPr>
          <w:rStyle w:val="markedcontent"/>
          <w:rFonts w:ascii="Arial" w:hAnsi="Arial" w:cs="Arial"/>
        </w:rPr>
      </w:pPr>
    </w:p>
    <w:p w14:paraId="721331B6" w14:textId="3AF8E998" w:rsidR="00430949" w:rsidRDefault="00257C80" w:rsidP="00430949">
      <w:pPr>
        <w:keepNext/>
        <w:tabs>
          <w:tab w:val="left" w:pos="5529"/>
          <w:tab w:val="center" w:pos="7938"/>
        </w:tabs>
        <w:spacing w:before="360" w:after="0"/>
        <w:jc w:val="center"/>
        <w:rPr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 xml:space="preserve"> </w:t>
      </w:r>
      <w:r w:rsidR="00430949">
        <w:rPr>
          <w:rStyle w:val="markedcontent"/>
          <w:rFonts w:ascii="Arial" w:hAnsi="Arial" w:cs="Arial"/>
        </w:rPr>
        <w:tab/>
      </w:r>
      <w:r w:rsidR="003B2B9A">
        <w:rPr>
          <w:rFonts w:ascii="Arial" w:hAnsi="Arial" w:cs="Arial"/>
        </w:rPr>
        <w:t xml:space="preserve"> </w:t>
      </w:r>
      <w:r w:rsidR="00430949">
        <w:rPr>
          <w:rFonts w:ascii="Arial" w:hAnsi="Arial" w:cs="Arial"/>
          <w:b/>
        </w:rPr>
        <w:t>Ing. Mgr. Magdaléna Plevová</w:t>
      </w:r>
    </w:p>
    <w:p w14:paraId="6566FCB0" w14:textId="51045A91" w:rsidR="00430949" w:rsidRDefault="00430949" w:rsidP="00430949">
      <w:pPr>
        <w:tabs>
          <w:tab w:val="left" w:pos="1134"/>
          <w:tab w:val="left" w:pos="5812"/>
          <w:tab w:val="center" w:pos="7938"/>
        </w:tabs>
        <w:spacing w:after="120"/>
        <w:ind w:left="1134" w:right="170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ředitelka</w:t>
      </w:r>
      <w:r w:rsidRPr="00B056CF">
        <w:rPr>
          <w:rFonts w:ascii="Arial" w:hAnsi="Arial" w:cs="Arial"/>
          <w:b/>
        </w:rPr>
        <w:t xml:space="preserve"> odboru</w:t>
      </w:r>
    </w:p>
    <w:p w14:paraId="6E21D654" w14:textId="708B4D6D" w:rsidR="00B21CA3" w:rsidRDefault="00B21CA3" w:rsidP="00B21CA3">
      <w:pPr>
        <w:spacing w:after="0"/>
        <w:jc w:val="both"/>
        <w:rPr>
          <w:rFonts w:ascii="Arial" w:hAnsi="Arial" w:cs="Arial"/>
        </w:rPr>
      </w:pPr>
    </w:p>
    <w:p w14:paraId="2B2649EE" w14:textId="77777777" w:rsidR="00257C80" w:rsidRPr="00B21CA3" w:rsidRDefault="00257C80" w:rsidP="00B21CA3">
      <w:pPr>
        <w:spacing w:after="0"/>
        <w:jc w:val="both"/>
        <w:rPr>
          <w:rFonts w:ascii="Arial" w:hAnsi="Arial" w:cs="Arial"/>
        </w:rPr>
      </w:pPr>
    </w:p>
    <w:p w14:paraId="377BB30F" w14:textId="77777777" w:rsidR="00CB5AA7" w:rsidRPr="00C470D8" w:rsidRDefault="00CB5AA7" w:rsidP="00CB5AA7">
      <w:pPr>
        <w:spacing w:after="0"/>
        <w:ind w:firstLine="567"/>
        <w:jc w:val="both"/>
        <w:rPr>
          <w:rFonts w:ascii="Arial" w:hAnsi="Arial" w:cs="Arial"/>
        </w:rPr>
      </w:pPr>
    </w:p>
    <w:p w14:paraId="2323273C" w14:textId="5DEA006B" w:rsidR="00483580" w:rsidRDefault="00483580" w:rsidP="00B54993">
      <w:pPr>
        <w:spacing w:after="0"/>
        <w:jc w:val="both"/>
        <w:rPr>
          <w:rFonts w:ascii="Arial" w:hAnsi="Arial" w:cs="Arial"/>
        </w:rPr>
      </w:pPr>
    </w:p>
    <w:p w14:paraId="550D79EE" w14:textId="77777777" w:rsidR="007633D3" w:rsidRDefault="007633D3" w:rsidP="00B54993">
      <w:pPr>
        <w:spacing w:after="0"/>
        <w:jc w:val="both"/>
        <w:rPr>
          <w:rFonts w:ascii="Arial" w:hAnsi="Arial" w:cs="Arial"/>
        </w:rPr>
      </w:pPr>
    </w:p>
    <w:p w14:paraId="4A5FC1BE" w14:textId="61894F4E" w:rsidR="00D71C11" w:rsidRDefault="00D71C11" w:rsidP="00B54993">
      <w:pPr>
        <w:spacing w:after="0"/>
        <w:jc w:val="both"/>
        <w:rPr>
          <w:rFonts w:ascii="Arial" w:hAnsi="Arial" w:cs="Arial"/>
        </w:rPr>
      </w:pPr>
    </w:p>
    <w:p w14:paraId="303950A5" w14:textId="77777777" w:rsidR="00B54993" w:rsidRDefault="00B54993"/>
    <w:sectPr w:rsidR="00B5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5FBB" w14:textId="77777777" w:rsidR="004C7514" w:rsidRDefault="004C7514" w:rsidP="00CB5AA7">
      <w:pPr>
        <w:spacing w:after="0" w:line="240" w:lineRule="auto"/>
      </w:pPr>
      <w:r>
        <w:separator/>
      </w:r>
    </w:p>
  </w:endnote>
  <w:endnote w:type="continuationSeparator" w:id="0">
    <w:p w14:paraId="062E7B3B" w14:textId="77777777" w:rsidR="004C7514" w:rsidRDefault="004C7514" w:rsidP="00CB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EA41" w14:textId="77777777" w:rsidR="004C7514" w:rsidRDefault="004C7514" w:rsidP="00CB5AA7">
      <w:pPr>
        <w:spacing w:after="0" w:line="240" w:lineRule="auto"/>
      </w:pPr>
      <w:r>
        <w:separator/>
      </w:r>
    </w:p>
  </w:footnote>
  <w:footnote w:type="continuationSeparator" w:id="0">
    <w:p w14:paraId="0B65C5B6" w14:textId="77777777" w:rsidR="004C7514" w:rsidRDefault="004C7514" w:rsidP="00CB5AA7">
      <w:pPr>
        <w:spacing w:after="0" w:line="240" w:lineRule="auto"/>
      </w:pPr>
      <w:r>
        <w:continuationSeparator/>
      </w:r>
    </w:p>
  </w:footnote>
  <w:footnote w:id="1">
    <w:p w14:paraId="2F3CE413" w14:textId="5DE76B55" w:rsidR="00A534D4" w:rsidRDefault="00A534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34D4">
        <w:rPr>
          <w:rFonts w:ascii="Arial" w:hAnsi="Arial" w:cs="Arial"/>
        </w:rPr>
        <w:t>https://www.fatf-gafi.org/en/countries/detail/Croatia.html</w:t>
      </w:r>
    </w:p>
  </w:footnote>
  <w:footnote w:id="2">
    <w:p w14:paraId="53762BC7" w14:textId="5EBF8508" w:rsidR="008C2A7A" w:rsidRDefault="008C2A7A" w:rsidP="004F08E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537262" w:rsidRPr="004F08E6">
        <w:rPr>
          <w:rFonts w:ascii="Arial" w:hAnsi="Arial" w:cs="Arial"/>
        </w:rPr>
        <w:t>https://www.fatf-gafi.org/content/fatf-gafi/en/publications/High-risk-and-other-monitored-jurisdictions/Increased-monitoring-june-2023.html</w:t>
      </w:r>
    </w:p>
  </w:footnote>
  <w:footnote w:id="3">
    <w:p w14:paraId="2B69CCD9" w14:textId="4E11EAF1" w:rsidR="002A5F69" w:rsidRDefault="002A5F69" w:rsidP="002A5F69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2A5F69">
        <w:rPr>
          <w:rFonts w:ascii="Arial" w:hAnsi="Arial" w:cs="Arial"/>
        </w:rPr>
        <w:t>Jurisdikce na šedém seznamu představuje dle FATF rizikový faktor, ale FATF ji ještě nepřiřazuje vysoké riziko jako je tomu u jurisdikcí na „černém seznamu“, které označuje za vysoce rizikové.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5F0"/>
    <w:multiLevelType w:val="hybridMultilevel"/>
    <w:tmpl w:val="7B167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F64"/>
    <w:multiLevelType w:val="hybridMultilevel"/>
    <w:tmpl w:val="611845E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CE8"/>
    <w:multiLevelType w:val="hybridMultilevel"/>
    <w:tmpl w:val="7C1A7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F90"/>
    <w:multiLevelType w:val="hybridMultilevel"/>
    <w:tmpl w:val="276A8D82"/>
    <w:lvl w:ilvl="0" w:tplc="44AAB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A9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28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0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8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41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2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0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E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E006F1"/>
    <w:multiLevelType w:val="hybridMultilevel"/>
    <w:tmpl w:val="85687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A10"/>
    <w:multiLevelType w:val="hybridMultilevel"/>
    <w:tmpl w:val="13143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7DC"/>
    <w:multiLevelType w:val="hybridMultilevel"/>
    <w:tmpl w:val="742C5EDA"/>
    <w:lvl w:ilvl="0" w:tplc="90B285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4E73"/>
    <w:multiLevelType w:val="hybridMultilevel"/>
    <w:tmpl w:val="9A94B53A"/>
    <w:lvl w:ilvl="0" w:tplc="C7D4A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17CD0"/>
    <w:multiLevelType w:val="hybridMultilevel"/>
    <w:tmpl w:val="D3B20B6E"/>
    <w:lvl w:ilvl="0" w:tplc="82A2E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757237"/>
    <w:multiLevelType w:val="hybridMultilevel"/>
    <w:tmpl w:val="D3B20B6E"/>
    <w:lvl w:ilvl="0" w:tplc="82A2E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725002"/>
    <w:multiLevelType w:val="hybridMultilevel"/>
    <w:tmpl w:val="D3B20B6E"/>
    <w:lvl w:ilvl="0" w:tplc="82A2E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D22BE3"/>
    <w:multiLevelType w:val="hybridMultilevel"/>
    <w:tmpl w:val="D3B20B6E"/>
    <w:lvl w:ilvl="0" w:tplc="82A2E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4F74AC"/>
    <w:multiLevelType w:val="hybridMultilevel"/>
    <w:tmpl w:val="D3B20B6E"/>
    <w:lvl w:ilvl="0" w:tplc="82A2E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262981"/>
    <w:multiLevelType w:val="hybridMultilevel"/>
    <w:tmpl w:val="1BFE40D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DB7AC7"/>
    <w:multiLevelType w:val="hybridMultilevel"/>
    <w:tmpl w:val="CC52DB1A"/>
    <w:lvl w:ilvl="0" w:tplc="885829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62AF"/>
    <w:multiLevelType w:val="hybridMultilevel"/>
    <w:tmpl w:val="D7822B9C"/>
    <w:lvl w:ilvl="0" w:tplc="41721BC6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AC600E2"/>
    <w:multiLevelType w:val="hybridMultilevel"/>
    <w:tmpl w:val="3CB097FC"/>
    <w:lvl w:ilvl="0" w:tplc="118207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D63B9"/>
    <w:multiLevelType w:val="hybridMultilevel"/>
    <w:tmpl w:val="4208B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D21C5"/>
    <w:multiLevelType w:val="hybridMultilevel"/>
    <w:tmpl w:val="639E01AC"/>
    <w:lvl w:ilvl="0" w:tplc="F4446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578E4"/>
    <w:multiLevelType w:val="hybridMultilevel"/>
    <w:tmpl w:val="4208B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5"/>
  </w:num>
  <w:num w:numId="5">
    <w:abstractNumId w:val="17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15"/>
  </w:num>
  <w:num w:numId="16">
    <w:abstractNumId w:val="12"/>
  </w:num>
  <w:num w:numId="17">
    <w:abstractNumId w:val="9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A7"/>
    <w:rsid w:val="000156FA"/>
    <w:rsid w:val="00031AA4"/>
    <w:rsid w:val="00051793"/>
    <w:rsid w:val="00071940"/>
    <w:rsid w:val="000876CC"/>
    <w:rsid w:val="000E4143"/>
    <w:rsid w:val="000F0752"/>
    <w:rsid w:val="000F5F9E"/>
    <w:rsid w:val="00101DEA"/>
    <w:rsid w:val="001103BD"/>
    <w:rsid w:val="0011704D"/>
    <w:rsid w:val="00140CDA"/>
    <w:rsid w:val="00147DC5"/>
    <w:rsid w:val="00155B0B"/>
    <w:rsid w:val="00180D1B"/>
    <w:rsid w:val="001C7F89"/>
    <w:rsid w:val="001D0523"/>
    <w:rsid w:val="001E0322"/>
    <w:rsid w:val="001E3862"/>
    <w:rsid w:val="002104A1"/>
    <w:rsid w:val="00231F25"/>
    <w:rsid w:val="00233605"/>
    <w:rsid w:val="00236A10"/>
    <w:rsid w:val="002509A4"/>
    <w:rsid w:val="00257C80"/>
    <w:rsid w:val="002676A5"/>
    <w:rsid w:val="00283CCC"/>
    <w:rsid w:val="002A5F69"/>
    <w:rsid w:val="002B1DFD"/>
    <w:rsid w:val="002C10A2"/>
    <w:rsid w:val="00337997"/>
    <w:rsid w:val="0036155E"/>
    <w:rsid w:val="00381C61"/>
    <w:rsid w:val="003A4C93"/>
    <w:rsid w:val="003B2B9A"/>
    <w:rsid w:val="003E0986"/>
    <w:rsid w:val="003F23DD"/>
    <w:rsid w:val="003F5DC3"/>
    <w:rsid w:val="003F70AE"/>
    <w:rsid w:val="00430949"/>
    <w:rsid w:val="00436EF8"/>
    <w:rsid w:val="00446A4D"/>
    <w:rsid w:val="00454985"/>
    <w:rsid w:val="00475C3F"/>
    <w:rsid w:val="00480BB0"/>
    <w:rsid w:val="00483580"/>
    <w:rsid w:val="00495FB7"/>
    <w:rsid w:val="004C1383"/>
    <w:rsid w:val="004C3373"/>
    <w:rsid w:val="004C4F00"/>
    <w:rsid w:val="004C664F"/>
    <w:rsid w:val="004C7514"/>
    <w:rsid w:val="004D732B"/>
    <w:rsid w:val="004F08E6"/>
    <w:rsid w:val="00500A84"/>
    <w:rsid w:val="00501FEA"/>
    <w:rsid w:val="00513E2E"/>
    <w:rsid w:val="00525624"/>
    <w:rsid w:val="00537262"/>
    <w:rsid w:val="00574100"/>
    <w:rsid w:val="00583C4D"/>
    <w:rsid w:val="005D3B71"/>
    <w:rsid w:val="005E3EFA"/>
    <w:rsid w:val="005F2CBD"/>
    <w:rsid w:val="0060464B"/>
    <w:rsid w:val="006168F8"/>
    <w:rsid w:val="00636937"/>
    <w:rsid w:val="00641874"/>
    <w:rsid w:val="006A5DA7"/>
    <w:rsid w:val="006E7696"/>
    <w:rsid w:val="007107BC"/>
    <w:rsid w:val="00715DFC"/>
    <w:rsid w:val="0072648D"/>
    <w:rsid w:val="00737878"/>
    <w:rsid w:val="00743B04"/>
    <w:rsid w:val="007528A0"/>
    <w:rsid w:val="007633D3"/>
    <w:rsid w:val="007725A8"/>
    <w:rsid w:val="00787CCF"/>
    <w:rsid w:val="007A0434"/>
    <w:rsid w:val="007C0E18"/>
    <w:rsid w:val="007D62B8"/>
    <w:rsid w:val="007D6402"/>
    <w:rsid w:val="007E2731"/>
    <w:rsid w:val="00801EFC"/>
    <w:rsid w:val="008117CD"/>
    <w:rsid w:val="00812A79"/>
    <w:rsid w:val="00814884"/>
    <w:rsid w:val="00834DCB"/>
    <w:rsid w:val="00837052"/>
    <w:rsid w:val="00861F79"/>
    <w:rsid w:val="008A0BB6"/>
    <w:rsid w:val="008B4DE2"/>
    <w:rsid w:val="008B53A4"/>
    <w:rsid w:val="008B6719"/>
    <w:rsid w:val="008C2A7A"/>
    <w:rsid w:val="008C3A7A"/>
    <w:rsid w:val="008C5808"/>
    <w:rsid w:val="008D368D"/>
    <w:rsid w:val="008E1686"/>
    <w:rsid w:val="00912E1A"/>
    <w:rsid w:val="00921D43"/>
    <w:rsid w:val="00933606"/>
    <w:rsid w:val="00953154"/>
    <w:rsid w:val="00954E2B"/>
    <w:rsid w:val="00970E40"/>
    <w:rsid w:val="009712F9"/>
    <w:rsid w:val="009D0A17"/>
    <w:rsid w:val="00A071F6"/>
    <w:rsid w:val="00A23FD9"/>
    <w:rsid w:val="00A31267"/>
    <w:rsid w:val="00A34AD0"/>
    <w:rsid w:val="00A534D4"/>
    <w:rsid w:val="00A87C28"/>
    <w:rsid w:val="00A92B8F"/>
    <w:rsid w:val="00A9350B"/>
    <w:rsid w:val="00AA0B23"/>
    <w:rsid w:val="00AA1495"/>
    <w:rsid w:val="00AE0DA3"/>
    <w:rsid w:val="00AE47A0"/>
    <w:rsid w:val="00B031C0"/>
    <w:rsid w:val="00B21CA3"/>
    <w:rsid w:val="00B26DDB"/>
    <w:rsid w:val="00B54993"/>
    <w:rsid w:val="00B64D5A"/>
    <w:rsid w:val="00B767BA"/>
    <w:rsid w:val="00B77FDB"/>
    <w:rsid w:val="00B90844"/>
    <w:rsid w:val="00B94F6B"/>
    <w:rsid w:val="00B96906"/>
    <w:rsid w:val="00BA4EEF"/>
    <w:rsid w:val="00BE0894"/>
    <w:rsid w:val="00BE0EA2"/>
    <w:rsid w:val="00BE132D"/>
    <w:rsid w:val="00BE1F3D"/>
    <w:rsid w:val="00BE20AE"/>
    <w:rsid w:val="00C03BC2"/>
    <w:rsid w:val="00C104BC"/>
    <w:rsid w:val="00C21825"/>
    <w:rsid w:val="00C317A3"/>
    <w:rsid w:val="00C51940"/>
    <w:rsid w:val="00C56F87"/>
    <w:rsid w:val="00C5700D"/>
    <w:rsid w:val="00C573B7"/>
    <w:rsid w:val="00C605FB"/>
    <w:rsid w:val="00C67741"/>
    <w:rsid w:val="00C80A16"/>
    <w:rsid w:val="00C8160B"/>
    <w:rsid w:val="00CB109A"/>
    <w:rsid w:val="00CB5AA7"/>
    <w:rsid w:val="00CB749D"/>
    <w:rsid w:val="00CD0185"/>
    <w:rsid w:val="00D35790"/>
    <w:rsid w:val="00D41320"/>
    <w:rsid w:val="00D53929"/>
    <w:rsid w:val="00D71A84"/>
    <w:rsid w:val="00D71C11"/>
    <w:rsid w:val="00D77719"/>
    <w:rsid w:val="00DC34A6"/>
    <w:rsid w:val="00DC40F5"/>
    <w:rsid w:val="00DE2B32"/>
    <w:rsid w:val="00DF6C37"/>
    <w:rsid w:val="00E22481"/>
    <w:rsid w:val="00E5439F"/>
    <w:rsid w:val="00E976EE"/>
    <w:rsid w:val="00F43E6E"/>
    <w:rsid w:val="00F53CA6"/>
    <w:rsid w:val="00F53F2F"/>
    <w:rsid w:val="00F55B1A"/>
    <w:rsid w:val="00FB1930"/>
    <w:rsid w:val="00FB3353"/>
    <w:rsid w:val="00FB4DB8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1D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AA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54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B5499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49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5A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5A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AA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B5A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7741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7C0E18"/>
  </w:style>
  <w:style w:type="character" w:customStyle="1" w:styleId="Nadpis1Char">
    <w:name w:val="Nadpis 1 Char"/>
    <w:basedOn w:val="Standardnpsmoodstavce"/>
    <w:link w:val="Nadpis1"/>
    <w:uiPriority w:val="9"/>
    <w:rsid w:val="00B54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rsid w:val="00B54993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49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Vnitnadresa">
    <w:name w:val="Vnitřní adresa"/>
    <w:basedOn w:val="Zkladntext"/>
    <w:rsid w:val="00B54993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Datum">
    <w:name w:val="Date"/>
    <w:basedOn w:val="Zkladntext"/>
    <w:next w:val="Vnitnadresa"/>
    <w:link w:val="DatumChar"/>
    <w:rsid w:val="00B54993"/>
    <w:pPr>
      <w:spacing w:after="440" w:line="220" w:lineRule="atLeast"/>
      <w:ind w:left="4320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B54993"/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4993"/>
  </w:style>
  <w:style w:type="paragraph" w:styleId="Textbubliny">
    <w:name w:val="Balloon Text"/>
    <w:basedOn w:val="Normln"/>
    <w:link w:val="TextbublinyChar"/>
    <w:uiPriority w:val="99"/>
    <w:semiHidden/>
    <w:unhideWhenUsed/>
    <w:rsid w:val="003A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C9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4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4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4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4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495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1E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1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8F8"/>
  </w:style>
  <w:style w:type="paragraph" w:styleId="Zpat">
    <w:name w:val="footer"/>
    <w:basedOn w:val="Normln"/>
    <w:link w:val="ZpatChar"/>
    <w:uiPriority w:val="99"/>
    <w:unhideWhenUsed/>
    <w:rsid w:val="0061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173E-3941-43FD-99F8-7C66B1AB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2023-08-21T12:59:00Z</dcterms:created>
  <dcterms:modified xsi:type="dcterms:W3CDTF">2023-08-30T15:49:00Z</dcterms:modified>
</cp:coreProperties>
</file>